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цен по результатам предварительного отбора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</w:t>
      </w:r>
      <w:r>
        <w:rPr>
          <w:bCs/>
          <w:iCs/>
          <w:lang w:eastAsia="ar-SA"/>
        </w:rPr>
        <w:t xml:space="preserve">», Заказчик)</w:t>
      </w:r>
      <w:r>
        <w:t xml:space="preserve">, являющееся также Организатором закупки, настоящим приглашает к участию в запросе цен по результатам предварительного отбора на </w:t>
      </w:r>
      <w:r>
        <w:rPr>
          <w:spacing w:val="-2"/>
        </w:rPr>
        <w:t xml:space="preserve">право заключения договора </w:t>
      </w:r>
      <w:r>
        <w:rPr>
          <w:bCs/>
          <w:spacing w:val="-2"/>
        </w:rPr>
        <w:t xml:space="preserve">на </w:t>
      </w:r>
      <w:r>
        <w:rPr>
          <w:bCs/>
          <w:spacing w:val="-2"/>
        </w:rPr>
        <w:t xml:space="preserve">в</w:t>
      </w:r>
      <w:r>
        <w:rPr>
          <w:bCs/>
          <w:spacing w:val="-2"/>
        </w:rPr>
        <w:t xml:space="preserve">ыполнение СМР по объектам технологического присоединения. Лот № 82</w:t>
      </w:r>
      <w:r>
        <w:rPr>
          <w:bCs/>
          <w:spacing w:val="-2"/>
        </w:rPr>
        <w:t xml:space="preserve">, для нужд АО «Россети Сибирь Тываэнерго», </w:t>
      </w:r>
      <w:r>
        <w:rPr>
          <w:spacing w:val="-2"/>
        </w:rPr>
        <w:t xml:space="preserve"> </w:t>
      </w:r>
      <w:r>
        <w:rPr>
          <w:spacing w:val="-2"/>
        </w:rPr>
        <w:t xml:space="preserve">№ </w:t>
      </w:r>
      <w:r>
        <w:rPr>
          <w:spacing w:val="-2"/>
        </w:rPr>
        <w:t xml:space="preserve">25.2-11/1.1-0012 </w:t>
      </w:r>
      <w:r>
        <w:rPr>
          <w:spacing w:val="-2"/>
        </w:rPr>
        <w:t xml:space="preserve">(далее – запрос цен, закупка)</w:t>
      </w:r>
      <w:r>
        <w:t xml:space="preserve">.</w:t>
      </w:r>
      <w:r>
        <w:t xml:space="preserve"> </w:t>
      </w:r>
      <w:r/>
    </w:p>
    <w:p>
      <w:pPr>
        <w:pStyle w:val="896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Запрос цен по результатам предварительного отбора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Наименование Заказчика: Акционерное общество «Россети Сибирь Тываэнерго» (АО «Россети Сибирь Тываэнерго»).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Место нахождения и почтовый адрес Заказчика: 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667001, г. Кызыл, ул. Рабочая 4.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E-mail:  info@tv.rosseti-sib.ru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Тел.:  8 (394-22) 9-85-00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/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Контактные лица Заказчика: 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Главный специалист сектора закупок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Кузнецова Надежда Алексеевна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E-mail: KuznetsovaNA@tv.rosseti-sib.ru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Тел.: (39422) 9-85-44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/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Специалист 2 категории сектора закупок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Золотухина Вера Александровна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E-mail: ZolotuhinaVA@tv.rosseti-sib.ru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rPr>
          <w:highlight w:val="none"/>
        </w:rPr>
        <w:suppressLineNumbers w:val="0"/>
      </w:pPr>
      <w:r>
        <w:t xml:space="preserve">Тел.: (39422) 9-84-43</w:t>
      </w:r>
      <w:r>
        <w:rPr>
          <w:highlight w:val="none"/>
        </w:rPr>
      </w:r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rPr>
          <w:highlight w:val="none"/>
        </w:rPr>
      </w:r>
      <w:r>
        <w:rPr>
          <w:highlight w:val="none"/>
        </w:rPr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запроса цен по результатам предварительного отбора.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</w:pPr>
      <w:r>
        <w:t xml:space="preserve">Право на заключение договора </w:t>
      </w:r>
      <w:r>
        <w:t xml:space="preserve">на </w:t>
      </w:r>
      <w:r>
        <w:t xml:space="preserve">выполнение СМР по объектам технологического присоединения. Лот № 82</w:t>
      </w:r>
      <w:r>
        <w:t xml:space="preserve">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tabs>
          <w:tab w:val="left" w:pos="0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Участник закупки должен принять во внимание, что, если иное не установлено извещением о закупке ссылки в извещении о закупке на конкретный тип продукции, производителя, носят лишь рекомендательный, а не обязательный характер. Учас</w:t>
      </w:r>
      <w:r>
        <w:t xml:space="preserve">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</w:pPr>
      <w:r>
        <w:t xml:space="preserve">В соответствии с техническим заданием и проектом договора.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lang w:eastAsia="ar-SA"/>
        </w:rPr>
        <w:t xml:space="preserve">1 032 772</w:t>
      </w:r>
      <w:r>
        <w:rPr>
          <w:bCs/>
          <w:lang w:eastAsia="ar-SA"/>
        </w:rPr>
        <w:t xml:space="preserve"> (</w:t>
      </w:r>
      <w:r>
        <w:rPr>
          <w:bCs/>
          <w:lang w:eastAsia="ar-SA"/>
        </w:rPr>
        <w:t xml:space="preserve">Один миллион тридцать две тысячи семьсот семьдесят два) рубля 15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копеек, кроме того НДС в размере </w:t>
      </w:r>
      <w:r>
        <w:rPr>
          <w:bCs/>
          <w:lang w:eastAsia="ar-SA"/>
        </w:rPr>
        <w:t xml:space="preserve">20</w:t>
      </w:r>
      <w:r>
        <w:rPr>
          <w:bCs/>
          <w:lang w:eastAsia="ar-SA"/>
        </w:rPr>
        <w:t xml:space="preserve"> %.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с учетом НДС составляет </w:t>
      </w:r>
      <w:r>
        <w:rPr>
          <w:bCs/>
          <w:lang w:eastAsia="ar-SA"/>
        </w:rPr>
        <w:t xml:space="preserve">1 239 326</w:t>
      </w:r>
      <w:r>
        <w:rPr>
          <w:bCs/>
          <w:lang w:eastAsia="ar-SA"/>
        </w:rPr>
        <w:t xml:space="preserve"> (</w:t>
      </w:r>
      <w:r>
        <w:rPr>
          <w:bCs/>
          <w:lang w:eastAsia="ar-SA"/>
        </w:rPr>
        <w:t xml:space="preserve">Один миллион двести тридцать девять тысяч триста двадцать шесть</w:t>
      </w:r>
      <w:r>
        <w:rPr>
          <w:bCs/>
          <w:lang w:eastAsia="ar-SA"/>
        </w:rPr>
        <w:t xml:space="preserve">) рубл</w:t>
      </w:r>
      <w:r>
        <w:rPr>
          <w:bCs/>
          <w:lang w:eastAsia="ar-SA"/>
        </w:rPr>
        <w:t xml:space="preserve">ей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58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копеек.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</w:rPr>
      </w:pPr>
      <w:r>
        <w:t xml:space="preserve">Извещение о закупке в полном объеме в электронном виде безвозмездно доступно для </w:t>
      </w:r>
      <w:r>
        <w:t xml:space="preserve">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https://www.roseltorg.ru/ начиная с «</w:t>
      </w:r>
      <w:r>
        <w:t xml:space="preserve">09</w:t>
      </w:r>
      <w:r>
        <w:t xml:space="preserve">»</w:t>
      </w:r>
      <w:r>
        <w:t xml:space="preserve">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25</w:t>
      </w:r>
      <w:r>
        <w:t xml:space="preserve"> года.</w:t>
      </w:r>
      <w:r>
        <w:rPr>
          <w:i/>
        </w:rPr>
        <w:t xml:space="preserve"> 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начала, дата и время окончания</w:t>
      </w:r>
      <w:r>
        <w:rPr>
          <w:b/>
        </w:rPr>
        <w:t xml:space="preserve">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 форме с использованием функционала и в соответствии с Регламентом работы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действительна в течение срока, указанного участником закупки в заявке на участие в </w:t>
      </w:r>
      <w:r>
        <w:t xml:space="preserve">закупке (форма 1). В любом случае этот срок не должен быть менее, чем 90 календарных дней со дня, следующего за днем окончания подачи заявок.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tabs>
          <w:tab w:val="left" w:pos="0" w:leader="none"/>
        </w:tabs>
      </w:pPr>
      <w:r>
        <w:t xml:space="preserve">Дата начала срока подачи заявок: «</w:t>
      </w:r>
      <w:r>
        <w:t xml:space="preserve">09</w:t>
      </w:r>
      <w:r>
        <w:t xml:space="preserve">»</w:t>
      </w:r>
      <w:r>
        <w:t xml:space="preserve">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25</w:t>
      </w:r>
      <w:r>
        <w:t xml:space="preserve"> года;</w:t>
      </w:r>
      <w:r/>
    </w:p>
    <w:p>
      <w:pPr>
        <w:pStyle w:val="1087"/>
        <w:jc w:val="both"/>
        <w:tabs>
          <w:tab w:val="left" w:pos="0" w:leader="none"/>
        </w:tabs>
      </w:pPr>
      <w:r>
        <w:t xml:space="preserve">Дата и время окончания срока, последний день срока подачи Заявок:</w:t>
      </w:r>
      <w:r/>
    </w:p>
    <w:p>
      <w:pPr>
        <w:pStyle w:val="1087"/>
        <w:jc w:val="both"/>
        <w:tabs>
          <w:tab w:val="left" w:pos="0" w:leader="none"/>
        </w:tabs>
      </w:pPr>
      <w:r>
        <w:t xml:space="preserve">«</w:t>
      </w:r>
      <w:r>
        <w:t xml:space="preserve">11</w:t>
      </w:r>
      <w:r>
        <w:t xml:space="preserve">»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25</w:t>
      </w:r>
      <w:r>
        <w:t xml:space="preserve"> года </w:t>
      </w:r>
      <w:r>
        <w:t xml:space="preserve">13</w:t>
      </w:r>
      <w:r>
        <w:t xml:space="preserve">:</w:t>
      </w:r>
      <w:r>
        <w:t xml:space="preserve">00</w:t>
      </w:r>
      <w:r>
        <w:t xml:space="preserve"> (время московское)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tabs>
          <w:tab w:val="left" w:pos="0" w:leader="none"/>
        </w:tabs>
      </w:pPr>
      <w:r>
        <w:t xml:space="preserve">Рассмотрение заявок: </w:t>
      </w:r>
      <w:r/>
    </w:p>
    <w:p>
      <w:pPr>
        <w:pStyle w:val="1087"/>
        <w:jc w:val="both"/>
        <w:tabs>
          <w:tab w:val="left" w:pos="0" w:leader="none"/>
        </w:tabs>
      </w:pPr>
      <w:r>
        <w:t xml:space="preserve">Дата начала проведения этапа: с момент направления оператором ЭП заказчику заявок на участие в закупке.</w:t>
      </w:r>
      <w:r/>
    </w:p>
    <w:p>
      <w:pPr>
        <w:pStyle w:val="1087"/>
        <w:jc w:val="both"/>
        <w:tabs>
          <w:tab w:val="left" w:pos="0" w:leader="none"/>
        </w:tabs>
        <w:rPr>
          <w:bCs/>
          <w:i/>
        </w:rPr>
      </w:pPr>
      <w:r>
        <w:t xml:space="preserve">Дата завершения этапа: «</w:t>
      </w:r>
      <w:r>
        <w:t xml:space="preserve">16</w:t>
      </w:r>
      <w:r>
        <w:t xml:space="preserve">»</w:t>
      </w:r>
      <w:r>
        <w:t xml:space="preserve">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</w:t>
      </w:r>
      <w:r>
        <w:t xml:space="preserve">5 года</w:t>
      </w:r>
      <w:r>
        <w:t xml:space="preserve">. </w:t>
      </w:r>
      <w:r>
        <w:rPr>
          <w:bCs/>
          <w:i/>
        </w:rPr>
      </w:r>
      <w:r>
        <w:rPr>
          <w:bCs/>
          <w:i/>
        </w:rPr>
      </w:r>
    </w:p>
    <w:p>
      <w:pPr>
        <w:pStyle w:val="1087"/>
        <w:jc w:val="both"/>
        <w:tabs>
          <w:tab w:val="left" w:pos="0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1087"/>
        <w:jc w:val="both"/>
      </w:pPr>
      <w:r>
        <w:t xml:space="preserve">Переторжка: </w:t>
      </w:r>
      <w:r/>
    </w:p>
    <w:p>
      <w:pPr>
        <w:pStyle w:val="1087"/>
        <w:jc w:val="both"/>
      </w:pPr>
      <w:r>
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/>
    </w:p>
    <w:p>
      <w:pPr>
        <w:pStyle w:val="1087"/>
        <w:jc w:val="both"/>
      </w:pPr>
      <w:r>
        <w:t xml:space="preserve">Шаг переторжки - </w:t>
      </w:r>
      <w:r>
        <w:t xml:space="preserve">1</w:t>
      </w:r>
      <w:r>
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spacing w:after="120"/>
        <w:tabs>
          <w:tab w:val="left" w:pos="0" w:leader="none"/>
        </w:tabs>
        <w:rPr>
          <w:bCs/>
          <w:i/>
        </w:rPr>
      </w:pPr>
      <w:r>
        <w:t xml:space="preserve">Подведение итогов закупки: «</w:t>
      </w:r>
      <w:r>
        <w:t xml:space="preserve">18»</w:t>
      </w:r>
      <w:r>
        <w:t xml:space="preserve"> </w:t>
      </w:r>
      <w:r>
        <w:t xml:space="preserve">декабр</w:t>
      </w:r>
      <w:r>
        <w:t xml:space="preserve">я </w:t>
      </w:r>
      <w:r>
        <w:t xml:space="preserve">20</w:t>
      </w:r>
      <w:r>
        <w:t xml:space="preserve">2</w:t>
      </w:r>
      <w:r>
        <w:t xml:space="preserve">5 года</w:t>
      </w:r>
      <w:r>
        <w:t xml:space="preserve">. </w:t>
      </w:r>
      <w:r>
        <w:rPr>
          <w:bCs/>
          <w:i/>
        </w:rPr>
      </w:r>
      <w:r>
        <w:rPr>
          <w:bCs/>
          <w:i/>
        </w:rPr>
      </w:r>
    </w:p>
    <w:p>
      <w:pPr>
        <w:pStyle w:val="1087"/>
        <w:jc w:val="both"/>
      </w:pPr>
      <w:r>
        <w:t xml:space="preserve">Заказчик вправе, при необходимости, изменять даты и время э</w:t>
      </w:r>
      <w:r>
        <w:t xml:space="preserve">тапов закупки, рассмотрения предложений участников и подведения итогов закупки, в том числе после окончания срока подачи заявок.</w:t>
      </w:r>
      <w:r/>
    </w:p>
    <w:p>
      <w:pPr>
        <w:pStyle w:val="1087"/>
        <w:numPr>
          <w:ilvl w:val="1"/>
          <w:numId w:val="3"/>
        </w:numPr>
        <w:ind w:left="0" w:firstLine="0"/>
        <w:jc w:val="both"/>
        <w:spacing w:before="120" w:after="120"/>
        <w:tabs>
          <w:tab w:val="left" w:pos="0" w:leader="none"/>
        </w:tabs>
      </w:pPr>
      <w:r>
        <w:rPr>
          <w:b/>
        </w:rPr>
        <w:t xml:space="preserve">Дата и время окончания срока предоставления участникам закупки разъяснений положений извещения о закупке</w:t>
      </w:r>
      <w:r/>
    </w:p>
    <w:p>
      <w:pPr>
        <w:pStyle w:val="1087"/>
        <w:jc w:val="both"/>
        <w:spacing w:after="120"/>
        <w:tabs>
          <w:tab w:val="left" w:pos="0" w:leader="none"/>
        </w:tabs>
      </w:pPr>
      <w: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</w:t>
      </w:r>
      <w:r>
        <w:t xml:space="preserve">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</w:t>
      </w:r>
      <w:r/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087"/>
        <w:jc w:val="both"/>
        <w:spacing w:after="120"/>
        <w:tabs>
          <w:tab w:val="left" w:pos="0" w:leader="none"/>
        </w:tabs>
      </w:pPr>
      <w:r>
        <w:t xml:space="preserve">https://www.roseltorg.ru/</w:t>
      </w:r>
      <w:r/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</w:t>
      </w:r>
      <w:r>
        <w:rPr>
          <w:b/>
        </w:rPr>
        <w:t xml:space="preserve">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</w:pPr>
      <w:r>
        <w:t xml:space="preserve">Не требуется.</w:t>
      </w:r>
      <w:r/>
    </w:p>
    <w:p>
      <w:pPr>
        <w:pStyle w:val="1087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</w:t>
      </w:r>
      <w:r>
        <w:rPr>
          <w:b/>
        </w:rPr>
        <w:t xml:space="preserve">договора), и срок его исполнения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Требуется обеспечение исполнения договора в соответствии с разделом 6 «ПРОЕКТ ДОГОВОРА» и в случаях, указанных в п. 3.17 извещения о проведении закупки.</w:t>
      </w:r>
      <w:r/>
    </w:p>
    <w:p>
      <w:pPr>
        <w:jc w:val="both"/>
      </w:pPr>
      <w:r>
        <w:t xml:space="preserve">Размер обеспечения – установлен в разделе 6 «ПРОЕКТ ДОГОВОРА» и п. 3.17 извещения о проведении закупки.</w:t>
      </w:r>
      <w:r/>
    </w:p>
    <w:p>
      <w:pPr>
        <w:jc w:val="both"/>
      </w:pPr>
      <w:r>
        <w:rPr>
          <w:iCs/>
        </w:rPr>
        <w:t xml:space="preserve">Порядок предоставления обеспечения</w:t>
      </w:r>
      <w:r>
        <w:t xml:space="preserve"> установлен в настоящем извещении о проведении закупки и разделе 6 «ПРОЕКТ ДОГОВОРА».</w:t>
      </w:r>
      <w:r/>
    </w:p>
    <w:p>
      <w:pPr>
        <w:jc w:val="both"/>
      </w:pPr>
      <w:r>
        <w:t xml:space="preserve">Основное обязательство, исполнение которого обеспечивается – установлено в разделе 6 «ПРОЕКТ ДОГОВОРА».</w:t>
      </w:r>
      <w:r/>
    </w:p>
    <w:p>
      <w:pPr>
        <w:jc w:val="both"/>
      </w:pPr>
      <w:r>
        <w:t xml:space="preserve">Срок исполнения – установлен в разделе 6 «ПРОЕКТ ДОГОВОРА».</w:t>
      </w:r>
      <w:r/>
    </w:p>
    <w:p>
      <w:pPr>
        <w:jc w:val="both"/>
      </w:pPr>
      <w:r>
        <w:t xml:space="preserve">Срок предоставления обеспечения - установлен в разделе 6 «ПРОЕКТ ДОГОВОРА».</w:t>
      </w:r>
      <w:r/>
    </w:p>
    <w:p>
      <w:pPr>
        <w:jc w:val="both"/>
      </w:pPr>
      <w:r>
        <w:t xml:space="preserve">Иные требования к обеспечению, в том числе условия независимой гарантии и требования к гарантам, указаны в п. 3.17 извещения о проведении закупки.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</w:t>
      </w:r>
      <w:r>
        <w:rPr>
          <w:b/>
          <w:bCs/>
          <w:color w:val="auto"/>
        </w:rPr>
        <w:t xml:space="preserve">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</w:pPr>
      <w:r>
        <w:t xml:space="preserve">Запрет, ограничение закупок товаров </w:t>
      </w:r>
      <w: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875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75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ограничение, не допускается заключение договора на поставку такого товара, происходящего из иностранного государства, </w:t>
      </w:r>
      <w:r>
        <w:t xml:space="preserve">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  <w:r>
        <w:rPr>
          <w:b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u w:val="single"/>
        </w:rPr>
      </w:pPr>
      <w:r>
        <w:rPr>
          <w:b/>
          <w:u w:val="single"/>
        </w:rPr>
        <w:t xml:space="preserve">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</w:t>
      </w:r>
      <w:r>
        <w:rPr>
          <w:b/>
          <w:u w:val="single"/>
        </w:rPr>
        <w:t xml:space="preserve"> по результатам предварительного отбора </w:t>
      </w:r>
      <w:r>
        <w:rPr>
          <w:b/>
          <w:bCs/>
          <w:u w:val="single"/>
        </w:rPr>
        <w:t xml:space="preserve">№24-85 на право заключения рамочных соглашений на выполнение строительно-монтажных и пуско-наладочных работ по техническому перевооруж</w:t>
      </w:r>
      <w:r>
        <w:rPr>
          <w:b/>
          <w:bCs/>
          <w:u w:val="single"/>
        </w:rPr>
        <w:t xml:space="preserve">ению, реконструкции, строительству, модернизации систем учета электроэнергии ВЛ -10 кВ, ВЛ -0,4 кВ,  КЛ-10 кВ, КЛ-0,4 кВ, КТП 10/0,4кВ, СТП 10/0,4кВ, РТП 10/0,4 кВ в регионе присутствия АО "Россети Сибирь Тываэнерго" для нужд АО «Россети Сибирь Тываэнерго»</w:t>
      </w:r>
      <w:r>
        <w:rPr>
          <w:u w:val="single"/>
        </w:rPr>
        <w:t xml:space="preserve"> (протокол заседания Закупочной комиссии ПАО «</w:t>
      </w:r>
      <w:r>
        <w:rPr>
          <w:u w:val="single"/>
        </w:rPr>
        <w:t xml:space="preserve">Россети Сибирь</w:t>
      </w:r>
      <w:r>
        <w:rPr>
          <w:u w:val="single"/>
        </w:rPr>
        <w:t xml:space="preserve">» по подведению итогов № </w:t>
      </w:r>
      <w:r>
        <w:rPr>
          <w:u w:val="single"/>
        </w:rPr>
        <w:t xml:space="preserve">24-85/32414167959/ТЭ от 19.03.2025г. </w:t>
      </w:r>
      <w:r>
        <w:rPr>
          <w:b/>
          <w:u w:val="single"/>
        </w:rPr>
        <w:t xml:space="preserve">прилагается</w:t>
      </w:r>
      <w:r>
        <w:rPr>
          <w:iCs/>
          <w:u w:val="single"/>
        </w:rPr>
        <w:t xml:space="preserve">)</w:t>
      </w:r>
      <w:r>
        <w:rPr>
          <w:u w:val="single"/>
        </w:rPr>
        <w:t xml:space="preserve">, с которыми Заказчиком заключены со</w:t>
      </w:r>
      <w:r>
        <w:rPr>
          <w:u w:val="single"/>
        </w:rPr>
        <w:t xml:space="preserve">глашения, являющиеся </w:t>
      </w:r>
      <w:r>
        <w:rPr>
          <w:b/>
          <w:u w:val="single"/>
        </w:rPr>
        <w:t xml:space="preserve">субъектами малого или среднего предпринимательства.</w:t>
      </w:r>
      <w:r>
        <w:rPr>
          <w:u w:val="single"/>
        </w:rPr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758"/>
        <w:gridCol w:w="5478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запросе цен по результатам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запросе цен по результатам предварительного отбора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извещения.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раздела 7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1. 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Спецификация оборудования, материалов и изделий, поставляемых/используемых подрядной организацией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Предоставляется только при поставках электротехнического оборудования и материалов в составе СМР.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соответствии со ст. 46 Федерального закона от 08.02.1998 №14-ФЗ «Об обществах с ограниченной </w:t>
            </w:r>
            <w:r>
              <w:rPr>
                <w:i/>
                <w:sz w:val="18"/>
                <w:szCs w:val="18"/>
                <w:lang w:eastAsia="en-US"/>
              </w:rPr>
              <w:t xml:space="preserve">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АО «Россети Сибирь Тываэнерго» размещена официальном сайте АО «Россети Сибирь Тываэнерго» </w:t>
            </w:r>
            <w:r>
              <w:rPr>
                <w:bCs/>
                <w:sz w:val="20"/>
                <w:szCs w:val="20"/>
              </w:rPr>
              <w:t xml:space="preserve">https://www.tuvaenergo.ru</w:t>
            </w:r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</w:t>
            </w:r>
            <w:r>
              <w:rPr>
                <w:rFonts w:eastAsia="Arial Unicode MS"/>
                <w:sz w:val="20"/>
                <w:szCs w:val="20"/>
              </w:rPr>
              <w:t xml:space="preserve">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5" w:tooltip="https://npd.nalog.ru/check-status/" w:history="1">
              <w:r>
                <w:rPr>
                  <w:rStyle w:val="1036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</w:t>
            </w:r>
            <w:r>
              <w:rPr>
                <w:bCs/>
                <w:sz w:val="20"/>
                <w:szCs w:val="20"/>
                <w:lang w:eastAsia="ar-SA"/>
              </w:rPr>
              <w:t xml:space="preserve">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6" w:tooltip="http://www.zakupki.gov.ru" w:history="1">
              <w:r>
                <w:rPr>
                  <w:rStyle w:val="1036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Подрядчик должен быть обеспечен автотранспортом и спецтехникой (находящейся в </w:t>
            </w:r>
            <w:r>
              <w:rPr>
                <w:rFonts w:eastAsia="Calibri"/>
                <w:bCs/>
                <w:sz w:val="20"/>
                <w:szCs w:val="20"/>
              </w:rPr>
              <w:t xml:space="preserve">собственности, лизинге или аренде), привлекаемым</w:t>
            </w:r>
            <w:r>
              <w:rPr>
                <w:rFonts w:eastAsia="Calibri"/>
                <w:bCs/>
                <w:sz w:val="20"/>
                <w:szCs w:val="20"/>
              </w:rPr>
              <w:t xml:space="preserve">и для выполнения СМР, а именно: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бригадный автомобиль - 2 ед.;</w:t>
            </w:r>
            <w:r>
              <w:rPr>
                <w:color w:val="000000"/>
                <w:sz w:val="20"/>
                <w:szCs w:val="20"/>
              </w:rPr>
              <w:br/>
              <w:t xml:space="preserve">автомобильный кран - 1 ед.;</w:t>
            </w:r>
            <w:r>
              <w:rPr>
                <w:color w:val="000000"/>
                <w:sz w:val="20"/>
                <w:szCs w:val="20"/>
              </w:rPr>
              <w:br/>
              <w:t xml:space="preserve">КМУ (автовышка) - 1 ед.;</w:t>
            </w:r>
            <w:r>
              <w:rPr>
                <w:color w:val="000000"/>
                <w:sz w:val="20"/>
                <w:szCs w:val="20"/>
              </w:rPr>
              <w:br/>
              <w:t xml:space="preserve">автомобиль бортовой - 2 ед.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</w:t>
            </w:r>
            <w:r>
              <w:rPr>
                <w:rFonts w:eastAsia="Calibri"/>
                <w:bCs/>
                <w:sz w:val="20"/>
                <w:szCs w:val="20"/>
              </w:rPr>
              <w:t xml:space="preserve">Справка по МТР по установленной ЗД форме.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sz w:val="20"/>
                <w:szCs w:val="20"/>
              </w:rPr>
              <w:t xml:space="preserve">2. </w:t>
            </w:r>
            <w:r>
              <w:rPr>
                <w:rFonts w:eastAsia="Calibri"/>
                <w:bCs/>
                <w:sz w:val="20"/>
                <w:szCs w:val="20"/>
              </w:rPr>
              <w:t xml:space="preserve">Докуме</w:t>
            </w:r>
            <w:r>
              <w:rPr>
                <w:rFonts w:eastAsia="Calibri"/>
                <w:bCs/>
                <w:sz w:val="20"/>
                <w:szCs w:val="20"/>
              </w:rPr>
              <w:t xml:space="preserve">н</w:t>
            </w:r>
            <w:r>
              <w:rPr>
                <w:rFonts w:eastAsia="Calibri"/>
                <w:bCs/>
                <w:sz w:val="20"/>
                <w:szCs w:val="20"/>
              </w:rPr>
              <w:t xml:space="preserve">ты подтверждающие наличие в собственности автотранспорта и спец.техники (полисы ОСАГО или свидетельства о регистрации транспортных средств) либо договор аренды (с приложением подтверждающих документов о наличии автотранспорта и спец.техники у арендодателя)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Численность рабочих, привлекаемых для выполнения работ, должна составлять </w:t>
            </w:r>
            <w:r>
              <w:rPr>
                <w:rFonts w:eastAsia="Calibri"/>
                <w:bCs/>
                <w:sz w:val="20"/>
                <w:szCs w:val="20"/>
              </w:rPr>
              <w:t xml:space="preserve">не менее 6 человек, в том числе: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инженер по наладке и испытаниям - 2 чел.,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электромонтер-линейщик - 2 чел., электромонтажник по силовы</w:t>
            </w:r>
            <w:r>
              <w:rPr>
                <w:rFonts w:eastAsia="Calibri"/>
                <w:bCs/>
                <w:sz w:val="20"/>
                <w:szCs w:val="20"/>
              </w:rPr>
              <w:t xml:space="preserve">м сетям и оборудованию - 2 чел.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На работников заявленных на выпол</w:t>
            </w:r>
            <w:r>
              <w:rPr>
                <w:rFonts w:eastAsia="Calibri"/>
                <w:bCs/>
                <w:sz w:val="20"/>
                <w:szCs w:val="20"/>
              </w:rPr>
              <w:t xml:space="preserve">нение договора должны быть предоставлены документы, подтверждающие квалификацию и опыт заявленных специалистов, в том числе документы об образовании, трудовая книжка (первая страница и листы с записями о последнем, предыдущем и настоящем месте работы).   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Работники, привлечённые для выполнения работ, обязаны иметь как минимум 4 группу по ЭБ, позволяющую выполнять работы в действующих электроустановках;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Для  подтверждения выполнения данного требования, в составе предложения, предоставляются следующие документы: 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справка о кадровых ресурсах (с указанием общего стажа работы каждого работника по специальности) по установленной КД форме;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копии трудовых книжек;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копии дипломов об основном образовании;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копии свидетельств о прохождении регламентируемых законодательством РФ обязательных курсов повышения квалификации;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справка по форме КНД согласно действующего приказа о расчёте по страховым взносам в ФНС, за последний отчётный период;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удостоверения по ЭБ на весь привлекаемый для выполнения СМР персонал.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0" w:name="_Toc476225272"/>
            <w:r/>
            <w:bookmarkStart w:id="1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0"/>
            <w:r/>
            <w:bookmarkEnd w:id="1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к тем участникам, которые прошли закупочную процедуру предварительного отбора в качестве коллективного участника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spacing w:after="60"/>
        <w:rPr>
          <w:b/>
        </w:rPr>
        <w:outlineLvl w:val="2"/>
      </w:pPr>
      <w:r>
        <w:t xml:space="preserve">2.6. Участник закупки вправе привлечь к исполнению договора соисполнителей (субподря</w:t>
      </w:r>
      <w:r>
        <w:t xml:space="preserve">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настоящего извещения, </w:t>
      </w:r>
      <w:r>
        <w:rPr>
          <w:b/>
        </w:rPr>
        <w:t xml:space="preserve">при этом </w:t>
      </w:r>
      <w:r>
        <w:rPr>
          <w:rFonts w:eastAsia="Calibri"/>
          <w:b/>
        </w:rPr>
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отбора.</w:t>
      </w:r>
      <w:r>
        <w:rPr>
          <w:b/>
        </w:rPr>
      </w:r>
      <w:r>
        <w:rPr>
          <w:b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/>
      <w:bookmarkStart w:id="2" w:name="_Ref536541397"/>
      <w:r>
        <w:rPr>
          <w:rFonts w:ascii="Times New Roman" w:hAnsi="Times New Roman"/>
          <w:sz w:val="24"/>
          <w:szCs w:val="24"/>
        </w:rPr>
        <w:t xml:space="preserve">Порядок проведения закупки (этапов закупки), подведения итогов закупки</w:t>
      </w:r>
      <w:bookmarkEnd w:id="2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426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 результатам рассмотрения заявок участников закупки составляется протокол, в котором указывает</w:t>
      </w:r>
      <w:r>
        <w:t xml:space="preserve">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начальной (максимальной) цены догово</w:t>
      </w:r>
      <w:r>
        <w:t xml:space="preserve">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При проведении запроса цен в обязательном порядке проводится переторжка,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Переторжка проводится при условии допуска к участию в закупке одного и более участников.</w:t>
      </w:r>
      <w:r>
        <w:rPr>
          <w:bCs/>
        </w:rPr>
        <w:t xml:space="preserve"> Участник закупки вправе не участвовать в переторжке, в этом случае его заявка остается действующей с ранее объявленной ценой</w:t>
      </w:r>
      <w:r>
        <w:t xml:space="preserve">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bCs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Участники закупки, участвовавшие в переторжке и снизившие свою цену, обязаны дополните</w:t>
      </w:r>
      <w:r>
        <w:rPr>
          <w:bCs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Шаг переторжки определяется Закупочной комиссией и указывается в </w:t>
      </w:r>
      <w:r>
        <w:t xml:space="preserve">пункте 1.8. извещения о закупке</w:t>
      </w:r>
      <w:r>
        <w:rPr>
          <w:bCs/>
        </w:rPr>
        <w:t xml:space="preserve">. 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Время проведения первой процедуры переторжки (время ожидания ценовых предложений)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  <w:r>
        <w:rPr>
          <w:b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 w:themeColor="text1"/>
        </w:rPr>
      </w:r>
      <w:r>
        <w:rPr>
          <w:rFonts w:ascii="Times New Roman" w:hAnsi="Times New Roman"/>
          <w:b w:val="0"/>
          <w:color w:val="000000" w:themeColor="text1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3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3"/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tbl>
      <w:tblPr>
        <w:tblStyle w:val="910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widowControl w:val="off"/>
      </w:pPr>
      <w:r>
        <w:t xml:space="preserve">ИНН 1701029232  </w:t>
      </w:r>
      <w:r/>
    </w:p>
    <w:p>
      <w:pPr>
        <w:ind w:firstLine="567"/>
        <w:jc w:val="both"/>
        <w:widowControl w:val="off"/>
      </w:pPr>
      <w:r>
        <w:t xml:space="preserve">КПП 170101001</w:t>
      </w:r>
      <w:r/>
    </w:p>
    <w:p>
      <w:pPr>
        <w:ind w:firstLine="567"/>
        <w:jc w:val="both"/>
        <w:widowControl w:val="off"/>
      </w:pPr>
      <w:r>
        <w:t xml:space="preserve">ОГРН 1021700509566     </w:t>
      </w:r>
      <w:r/>
    </w:p>
    <w:p>
      <w:pPr>
        <w:ind w:firstLine="567"/>
        <w:jc w:val="both"/>
        <w:widowControl w:val="off"/>
      </w:pPr>
      <w:r>
        <w:t xml:space="preserve">ОКПО 40871124 </w:t>
      </w:r>
      <w:r/>
    </w:p>
    <w:p>
      <w:pPr>
        <w:ind w:firstLine="567"/>
        <w:jc w:val="both"/>
        <w:widowControl w:val="off"/>
      </w:pPr>
      <w:r>
        <w:t xml:space="preserve">ОКВЭД 35.12 </w:t>
      </w:r>
      <w:r/>
    </w:p>
    <w:p>
      <w:pPr>
        <w:ind w:firstLine="567"/>
        <w:jc w:val="both"/>
        <w:widowControl w:val="off"/>
      </w:pPr>
      <w:r>
        <w:t xml:space="preserve">ОКАТО 93401000000 </w:t>
      </w:r>
      <w:r/>
    </w:p>
    <w:p>
      <w:pPr>
        <w:ind w:firstLine="567"/>
        <w:jc w:val="both"/>
        <w:widowControl w:val="off"/>
      </w:pPr>
      <w:r>
        <w:t xml:space="preserve">ОКФС 16 ОКОПФ 12267 </w:t>
      </w:r>
      <w:r/>
    </w:p>
    <w:p>
      <w:pPr>
        <w:ind w:firstLine="567"/>
        <w:jc w:val="both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widowControl w:val="off"/>
      </w:pPr>
      <w:r>
        <w:t xml:space="preserve">БИК 040407627</w:t>
      </w:r>
      <w:r/>
    </w:p>
    <w:p>
      <w:pPr>
        <w:ind w:firstLine="567"/>
        <w:jc w:val="both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75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94"/>
        <w:numPr>
          <w:ilvl w:val="0"/>
          <w:numId w:val="37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94"/>
        <w:numPr>
          <w:ilvl w:val="0"/>
          <w:numId w:val="37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 w:themeColor="text1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 w:themeColor="text1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 w:themeColor="text1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 w:themeColor="text1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 xml:space="preserve"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 xml:space="preserve"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 w:themeColor="text1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94"/>
        <w:numPr>
          <w:ilvl w:val="0"/>
          <w:numId w:val="37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5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</w:t>
      </w:r>
      <w:r>
        <w:rPr>
          <w:bCs/>
        </w:rPr>
        <w:t xml:space="preserve">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90"/>
        <w:gridCol w:w="2094"/>
        <w:gridCol w:w="1794"/>
        <w:gridCol w:w="2292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039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492"/>
        <w:gridCol w:w="2493"/>
        <w:gridCol w:w="2292"/>
        <w:gridCol w:w="2493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  <w:r>
        <w:rPr>
          <w:i/>
          <w:sz w:val="22"/>
        </w:rPr>
      </w:r>
    </w:p>
    <w:p>
      <w:pPr>
        <w:pStyle w:val="875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94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  <w:r>
        <w:rPr>
          <w:bCs/>
        </w:rPr>
      </w:r>
    </w:p>
    <w:p>
      <w:pPr>
        <w:pStyle w:val="1247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  <w:r>
        <w:rPr>
          <w:bCs w:val="0"/>
          <w:szCs w:val="24"/>
          <w:u w:val="single"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</w:t>
      </w:r>
      <w:r>
        <w:rPr>
          <w:bCs/>
        </w:rPr>
        <w:t xml:space="preserve">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</w:t>
      </w:r>
      <w:r>
        <w:rPr>
          <w:bCs/>
        </w:rPr>
        <w:t xml:space="preserve">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0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  <w:r>
        <w:rPr>
          <w:bCs/>
        </w:rPr>
      </w:r>
    </w:p>
    <w:p>
      <w:pPr>
        <w:pStyle w:val="875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247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7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875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</w:t>
      </w:r>
      <w:r>
        <w:t xml:space="preserve">аявке на участие в запросе цен, в которой содержится наименьшее ценовое предложение, присваивается первый номер.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Победителем запроса цен по результатам предварительного отбора признается участник, заявка которого соответствует требованиям, установленным извещением о закупке, и ценовое предложение которого содержит минимальную стоимость. </w:t>
      </w:r>
      <w:r>
        <w:rPr>
          <w:b/>
        </w:rPr>
        <w:t xml:space="preserve">Для целей оценки заявок по ценовому критерию применяются ценовые предложения участников закупки без НДС.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Если до заключения договора по результатам закупки будет выявлено, что Заку</w:t>
      </w:r>
      <w:r>
        <w:t xml:space="preserve">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</w:t>
      </w:r>
      <w:r>
        <w:t xml:space="preserve">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участника </w:t>
      </w:r>
      <w: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t xml:space="preserve"> закупки и (или) заявка участника закупки не 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4" w:name="_Ref166158219"/>
      <w:r>
        <w:t xml:space="preserve">Заказчик вправе отменить закупку в любое время до подписания договора</w:t>
      </w:r>
      <w:bookmarkEnd w:id="4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5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bookmarkEnd w:id="5"/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t xml:space="preserve">, Заказчик направляет подписанный электронной подписью с использованием программно-аппаратных средств </w:t>
      </w:r>
      <w:r>
        <w:t xml:space="preserve">ЭП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при условии, что участником закупки, с которым заключается </w:t>
      </w:r>
      <w:r>
        <w:t xml:space="preserve">договор, предоставлено обеспечение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в иной форме</w:t>
      </w:r>
      <w:r>
        <w:t xml:space="preserve">, Заказчик направляет участнику закупки на адрес, указанный в заявке такого уч</w:t>
      </w:r>
      <w:r>
        <w:t xml:space="preserve">астника (путем направления электронного документа, либо путем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</w:t>
      </w:r>
      <w:r>
        <w:t xml:space="preserve"> внутренними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установлены требова</w:t>
      </w:r>
      <w:r>
        <w:t xml:space="preserve">ния 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</w:t>
      </w:r>
      <w:r>
        <w:t xml:space="preserve">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</w:t>
      </w:r>
      <w:r>
        <w:t xml:space="preserve">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6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6"/>
      <w:r/>
      <w:r/>
    </w:p>
    <w:p>
      <w:pPr>
        <w:numPr>
          <w:ilvl w:val="0"/>
          <w:numId w:val="6"/>
        </w:numPr>
        <w:ind w:left="0" w:firstLine="426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0" w:firstLine="426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7" w:name="_Ref119429963"/>
      <w:r>
        <w:t xml:space="preserve">При исполн</w:t>
      </w:r>
      <w: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875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0" w:leader="none"/>
        </w:tabs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055"/>
        <w:jc w:val="center"/>
        <w:spacing w:before="0" w:after="6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Форма 1. Заявка на участие в запросе ЦЕН по результатам предварительного отбора</w:t>
      </w:r>
      <w:r>
        <w:rPr>
          <w:bCs/>
          <w:caps/>
          <w:sz w:val="24"/>
          <w:szCs w:val="24"/>
        </w:rPr>
      </w:r>
      <w:r>
        <w:rPr>
          <w:bCs/>
          <w:caps/>
          <w:sz w:val="24"/>
          <w:szCs w:val="24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запросе цен по результатам предварительного отбора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</w:pPr>
      <w:r>
        <w:t xml:space="preserve">Изучив извещение о проведении запроса цен по результатам предварительного отбора № _______________ от «__» _______ 20__ </w:t>
      </w:r>
      <w:r>
        <w:rPr>
          <w:i/>
          <w:iCs/>
        </w:rPr>
        <w:t xml:space="preserve">(указывается номер извещения о проведении запроса цен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</w:pPr>
      <w:r>
        <w:rPr>
          <w:b/>
          <w:bCs/>
        </w:rPr>
        <w:t xml:space="preserve">1.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rPr>
          <w:b/>
        </w:rPr>
      </w:pPr>
      <w:r>
        <w:rPr>
          <w:b/>
        </w:rPr>
        <w:t xml:space="preserve">2.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>
        <w:t xml:space="preserve">Изучив извещение о проведении запроса цен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tabs>
          <w:tab w:val="left" w:pos="1080" w:leader="none"/>
        </w:tabs>
        <w:rPr>
          <w:rStyle w:val="1245"/>
          <w:i w:val="0"/>
          <w:sz w:val="24"/>
        </w:rPr>
      </w:pPr>
      <w:r>
        <w:rPr>
          <w:rStyle w:val="1245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245"/>
          <w:i w:val="0"/>
          <w:sz w:val="24"/>
        </w:rPr>
      </w:r>
      <w:r>
        <w:rPr>
          <w:rStyle w:val="1245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245"/>
          <w:sz w:val="24"/>
          <w:lang w:val="en-US"/>
        </w:rPr>
      </w:pPr>
      <w:r>
        <w:t xml:space="preserve">- поставить товар, который указан в извещении о закупке </w:t>
      </w:r>
      <w:r>
        <w:rPr>
          <w:rStyle w:val="1245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запроса цен);</w:t>
      </w:r>
      <w:r>
        <w:rPr>
          <w:rStyle w:val="1245"/>
          <w:sz w:val="24"/>
          <w:lang w:val="en-US"/>
        </w:rPr>
      </w:r>
      <w:r>
        <w:rPr>
          <w:rStyle w:val="1245"/>
          <w:sz w:val="24"/>
          <w:lang w:val="en-US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245"/>
          <w:sz w:val="24"/>
        </w:rPr>
        <w:t xml:space="preserve">(в случае, если участник запроса цен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  <w:t xml:space="preserve">3. Статус заявки и декларация соответствия требованиями извещения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1036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1036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8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8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  <w:r>
        <w:rPr>
          <w:bCs/>
        </w:rPr>
      </w:r>
    </w:p>
    <w:p>
      <w:pPr>
        <w:pStyle w:val="1089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089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089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запроса цен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43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43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  <w:sectPr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519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357"/>
        <w:gridCol w:w="1024"/>
        <w:gridCol w:w="1542"/>
        <w:gridCol w:w="978"/>
        <w:gridCol w:w="950"/>
        <w:gridCol w:w="1200"/>
        <w:gridCol w:w="2134"/>
        <w:gridCol w:w="2094"/>
        <w:gridCol w:w="768"/>
        <w:gridCol w:w="774"/>
        <w:gridCol w:w="1110"/>
        <w:gridCol w:w="1082"/>
      </w:tblGrid>
      <w:tr>
        <w:tblPrEx/>
        <w:trPr>
          <w:trHeight w:val="939"/>
        </w:trPr>
        <w:tc>
          <w:tcPr>
            <w:tcW w:w="132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-109" w:firstLine="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-47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 w:type="textWrapping" w:clear="all"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themeColor="background1" w:fill="ffffff" w:themeFill="background1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34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4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Участник указывает свое ф</w:t>
      </w:r>
      <w:r>
        <w:rPr>
          <w:sz w:val="20"/>
          <w:highlight w:val="white"/>
        </w:rPr>
        <w:t xml:space="preserve">ирменное наименование (в т.ч. организационно-правовую форму) и свой адрес.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</w:t>
      </w:r>
      <w:r>
        <w:rPr>
          <w:sz w:val="20"/>
          <w:highlight w:val="white"/>
        </w:rPr>
        <w:t xml:space="preserve">. 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jc w:val="both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jc w:val="both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94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  <w:r>
        <w:rPr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089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jc w:val="both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затрат сил</w:t>
      </w:r>
      <w:r>
        <w:rPr>
          <w:sz w:val="20"/>
        </w:rPr>
        <w:t xml:space="preserve">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055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55"/>
        <w:jc w:val="center"/>
        <w:keepNext w:val="0"/>
        <w:spacing w:after="0"/>
        <w:widowControl w:val="off"/>
        <w:rPr>
          <w:sz w:val="24"/>
          <w:szCs w:val="24"/>
        </w:rPr>
      </w:pPr>
      <w:r/>
      <w:bookmarkStart w:id="9" w:name="_Toc536483690"/>
      <w:r/>
      <w:bookmarkStart w:id="10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 ТЕХНИЧЕСКОЕ ПРЕДЛОЖЕНИЕ</w:t>
      </w:r>
      <w:bookmarkEnd w:id="9"/>
      <w:r/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1" w:name="_Toc298234710"/>
      <w:r/>
      <w:bookmarkStart w:id="12" w:name="_Toc255987072"/>
      <w:r/>
      <w:bookmarkStart w:id="13" w:name="_Toc307936260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" w:name="_Toc536483691"/>
      <w:r/>
      <w:bookmarkStart w:id="15" w:name="_Toc536567159"/>
      <w:r>
        <w:rPr>
          <w:b/>
        </w:rPr>
        <w:t xml:space="preserve">Техническое предложение</w:t>
      </w:r>
      <w:bookmarkEnd w:id="11"/>
      <w:r/>
      <w:bookmarkEnd w:id="12"/>
      <w:r>
        <w:rPr>
          <w:b/>
        </w:rPr>
        <w:t xml:space="preserve"> </w:t>
      </w:r>
      <w:bookmarkEnd w:id="13"/>
      <w:r/>
      <w:bookmarkEnd w:id="14"/>
      <w:r/>
      <w:bookmarkEnd w:id="15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16" w:name="_Toc247081498"/>
      <w:r>
        <w:rPr>
          <w:b/>
        </w:rPr>
        <w:t xml:space="preserve">Способ и наименование закупки _______________________________________ </w:t>
      </w:r>
      <w:bookmarkEnd w:id="16"/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17" w:name="_Toc247081499"/>
      <w:r>
        <w:rPr>
          <w:b/>
          <w:i/>
        </w:rPr>
        <w:t xml:space="preserve">Суть технического предложения</w:t>
      </w:r>
      <w:bookmarkEnd w:id="17"/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18" w:name="_Toc247081501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19" w:name="_Toc247081500"/>
      <w:r>
        <w:rPr>
          <w:b/>
          <w:bCs/>
          <w:lang w:eastAsia="ar-SA"/>
        </w:rPr>
        <w:t xml:space="preserve">                М.П.</w:t>
      </w:r>
      <w:bookmarkEnd w:id="18"/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19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06"/>
        <w:gridCol w:w="1350"/>
        <w:gridCol w:w="1641"/>
        <w:gridCol w:w="3854"/>
        <w:gridCol w:w="2063"/>
        <w:gridCol w:w="28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55"/>
        <w:jc w:val="center"/>
        <w:keepNext w:val="0"/>
        <w:spacing w:after="0"/>
        <w:widowControl w:val="off"/>
        <w:rPr>
          <w:bCs/>
          <w:caps/>
          <w:sz w:val="24"/>
          <w:szCs w:val="24"/>
          <w:highlight w:val="white"/>
        </w:rPr>
      </w:pPr>
      <w:r>
        <w:rPr>
          <w:sz w:val="20"/>
        </w:rPr>
        <w:br w:type="page" w:clear="all"/>
      </w:r>
      <w:bookmarkStart w:id="20" w:name="_Toc507418006"/>
      <w:r/>
      <w:bookmarkStart w:id="21" w:name="_Toc475438334"/>
      <w:r/>
      <w:bookmarkStart w:id="22" w:name="_Toc436140128"/>
      <w:r/>
      <w:bookmarkStart w:id="23" w:name="_Toc307936261"/>
      <w:r>
        <w:rPr>
          <w:bCs/>
          <w:sz w:val="24"/>
          <w:szCs w:val="24"/>
          <w:lang w:val="ru-RU" w:eastAsia="ru-RU"/>
        </w:rPr>
        <w:t xml:space="preserve">ФОРМА 3.1</w:t>
      </w:r>
      <w:r>
        <w:rPr>
          <w:bCs/>
          <w:caps/>
          <w:sz w:val="24"/>
          <w:szCs w:val="24"/>
          <w:lang w:val="ru-RU" w:eastAsia="ru-RU"/>
        </w:rPr>
        <w:t xml:space="preserve">. </w:t>
      </w:r>
      <w:bookmarkEnd w:id="20"/>
      <w:r/>
      <w:bookmarkEnd w:id="21"/>
      <w:r/>
      <w:bookmarkEnd w:id="22"/>
      <w:r/>
      <w:bookmarkEnd w:id="23"/>
      <w:r>
        <w:rPr>
          <w:caps/>
          <w:sz w:val="24"/>
          <w:szCs w:val="24"/>
        </w:rPr>
        <w:t xml:space="preserve">Спецификация оборудования, материалов и изделий, поставля</w:t>
      </w:r>
      <w:r>
        <w:rPr>
          <w:caps/>
          <w:sz w:val="24"/>
          <w:szCs w:val="24"/>
          <w:highlight w:val="white"/>
        </w:rPr>
        <w:t xml:space="preserve">емых/используемых подрядной организацией</w:t>
      </w:r>
      <w:r>
        <w:rPr>
          <w:bCs/>
          <w:caps/>
          <w:sz w:val="24"/>
          <w:szCs w:val="24"/>
          <w:highlight w:val="white"/>
        </w:rPr>
      </w:r>
      <w:r>
        <w:rPr>
          <w:bCs/>
          <w:caps/>
          <w:sz w:val="24"/>
          <w:szCs w:val="24"/>
          <w:highlight w:val="white"/>
        </w:rPr>
      </w:r>
    </w:p>
    <w:p>
      <w:pPr>
        <w:ind w:right="34"/>
        <w:jc w:val="center"/>
        <w:spacing w:after="60"/>
        <w:widowControl w:val="off"/>
        <w:rPr>
          <w:b/>
          <w:bCs/>
          <w:sz w:val="22"/>
          <w:highlight w:val="white"/>
        </w:rPr>
      </w:pPr>
      <w:r>
        <w:rPr>
          <w:b/>
          <w:bCs/>
          <w:sz w:val="22"/>
          <w:highlight w:val="white"/>
        </w:rPr>
      </w:r>
      <w:r>
        <w:rPr>
          <w:b/>
          <w:bCs/>
          <w:sz w:val="22"/>
          <w:highlight w:val="white"/>
        </w:rPr>
      </w:r>
      <w:r>
        <w:rPr>
          <w:b/>
          <w:bCs/>
          <w:sz w:val="22"/>
          <w:highlight w:val="white"/>
        </w:rPr>
      </w:r>
    </w:p>
    <w:p>
      <w:pPr>
        <w:jc w:val="center"/>
        <w:spacing w:after="60"/>
        <w:widowControl w:val="off"/>
        <w:tabs>
          <w:tab w:val="num" w:pos="1134" w:leader="none"/>
        </w:tabs>
        <w:rPr>
          <w:b/>
        </w:rPr>
        <w:outlineLvl w:val="1"/>
      </w:pPr>
      <w:r/>
      <w:bookmarkStart w:id="24" w:name="_Toc536483693"/>
      <w:r/>
      <w:bookmarkStart w:id="25" w:name="_Toc536567161"/>
      <w:r/>
      <w:bookmarkStart w:id="26" w:name="_Toc5779020"/>
      <w:r>
        <w:rPr>
          <w:b/>
          <w:highlight w:val="white"/>
        </w:rPr>
        <w:t xml:space="preserve">Спецификация оборудования, материалов и изделий, поставляемых/используемых </w:t>
      </w:r>
      <w:r>
        <w:rPr>
          <w:b/>
        </w:rPr>
        <w:t xml:space="preserve">подрядной организацией</w:t>
      </w:r>
      <w:bookmarkEnd w:id="24"/>
      <w:r/>
      <w:bookmarkEnd w:id="25"/>
      <w:r/>
      <w:bookmarkEnd w:id="26"/>
      <w:r>
        <w:rPr>
          <w:b/>
        </w:rPr>
      </w:r>
      <w:r>
        <w:rPr>
          <w:b/>
        </w:rPr>
      </w:r>
    </w:p>
    <w:p>
      <w:pPr>
        <w:ind w:right="34" w:firstLine="709"/>
        <w:spacing w:after="60"/>
        <w:widowControl w:val="off"/>
        <w:rPr>
          <w:bCs/>
          <w:sz w:val="22"/>
          <w:lang w:eastAsia="ar-SA"/>
        </w:rPr>
      </w:pP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</w:p>
    <w:p>
      <w:pPr>
        <w:ind w:right="34" w:firstLine="426"/>
        <w:spacing w:after="60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</w:t>
      </w:r>
      <w:r>
        <w:rPr>
          <w:bCs/>
        </w:rPr>
      </w:r>
      <w:r>
        <w:rPr>
          <w:bCs/>
        </w:rPr>
      </w:r>
    </w:p>
    <w:p>
      <w:pPr>
        <w:ind w:right="34" w:firstLine="426"/>
        <w:spacing w:after="60"/>
        <w:rPr>
          <w:bCs/>
          <w:lang w:eastAsia="ar-SA"/>
        </w:rPr>
      </w:pPr>
      <w:r>
        <w:rPr>
          <w:bCs/>
          <w:lang w:eastAsia="ar-SA"/>
        </w:rPr>
        <w:t xml:space="preserve">Наименование и адрес участника: __________________________________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ind w:right="34" w:firstLine="426"/>
        <w:spacing w:after="60"/>
        <w:widowControl w:val="off"/>
        <w:rPr>
          <w:bCs/>
          <w:sz w:val="22"/>
          <w:lang w:eastAsia="ar-SA"/>
        </w:rPr>
      </w:pP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47"/>
        <w:gridCol w:w="1815"/>
        <w:gridCol w:w="2255"/>
        <w:gridCol w:w="1487"/>
        <w:gridCol w:w="649"/>
        <w:gridCol w:w="690"/>
        <w:gridCol w:w="1134"/>
        <w:gridCol w:w="1618"/>
      </w:tblGrid>
      <w:tr>
        <w:tblPrEx/>
        <w:trPr>
          <w:trHeight w:val="2045"/>
        </w:trPr>
        <w:tc>
          <w:tcPr>
            <w:tcW w:w="218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№ п/п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1057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Наименование и техническая характеристика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1272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Тип, марка, обозначение документа, опросного листа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693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Завод-изготовитель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4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Ед. изм.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278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Кол-во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2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Масса единицы, кг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736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Наличие аттестации на соответствие требованиям ПАО «Россети» на момент поставки оборудования, материалов и изделий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218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1057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i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i/>
                <w:sz w:val="22"/>
                <w:szCs w:val="22"/>
                <w:lang w:eastAsia="en-US"/>
              </w:rPr>
            </w:r>
          </w:p>
        </w:tc>
        <w:tc>
          <w:tcPr>
            <w:tcW w:w="1272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693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4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278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2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736" w:type="pct"/>
            <w:vAlign w:val="center"/>
            <w:textDirection w:val="lrTb"/>
            <w:noWrap w:val="false"/>
          </w:tcPr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  <w:p>
            <w:pPr>
              <w:ind w:right="34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</w:tbl>
    <w:p>
      <w:pPr>
        <w:ind w:right="34"/>
        <w:spacing w:after="60"/>
        <w:widowControl w:val="off"/>
        <w:rPr>
          <w:bCs/>
          <w:sz w:val="22"/>
          <w:lang w:eastAsia="ar-SA"/>
        </w:rPr>
      </w:pP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</w:p>
    <w:p>
      <w:pPr>
        <w:ind w:right="34"/>
        <w:jc w:val="both"/>
        <w:spacing w:after="60"/>
        <w:widowControl w:val="off"/>
        <w:rPr>
          <w:b/>
          <w:bCs/>
          <w:sz w:val="22"/>
          <w:lang w:eastAsia="ar-SA"/>
        </w:rPr>
      </w:pPr>
      <w:r>
        <w:rPr>
          <w:b/>
          <w:bCs/>
          <w:lang w:eastAsia="en-US"/>
        </w:rPr>
        <w:t xml:space="preserve">Необходимо заполнить данную форму в полном соответствии с приложен</w:t>
      </w:r>
      <w:r>
        <w:rPr>
          <w:b/>
          <w:bCs/>
          <w:lang w:eastAsia="en-US"/>
        </w:rPr>
        <w:t xml:space="preserve">ием к технической части «Спецификация оборудования и материалов». Все столбцы данной спецификации должны быть заполнены в обязательном порядке. Заполненная форма подписывается полномочным представителем участника и скрепляется печатью (при наличии печати).</w:t>
      </w:r>
      <w:r>
        <w:rPr>
          <w:b/>
          <w:bCs/>
          <w:sz w:val="22"/>
          <w:lang w:eastAsia="ar-SA"/>
        </w:rPr>
      </w:r>
      <w:r>
        <w:rPr>
          <w:b/>
          <w:bCs/>
          <w:sz w:val="22"/>
          <w:lang w:eastAsia="ar-SA"/>
        </w:rPr>
      </w:r>
    </w:p>
    <w:p>
      <w:pPr>
        <w:ind w:right="34" w:firstLine="567"/>
        <w:spacing w:after="60"/>
        <w:rPr>
          <w:sz w:val="22"/>
          <w:lang w:eastAsia="ar-SA"/>
        </w:rPr>
      </w:pPr>
      <w:r>
        <w:rPr>
          <w:sz w:val="22"/>
          <w:lang w:eastAsia="ar-SA"/>
        </w:rPr>
      </w:r>
      <w:r>
        <w:rPr>
          <w:sz w:val="22"/>
          <w:lang w:eastAsia="ar-SA"/>
        </w:rPr>
      </w:r>
      <w:r>
        <w:rPr>
          <w:sz w:val="22"/>
          <w:lang w:eastAsia="ar-SA"/>
        </w:rPr>
      </w:r>
    </w:p>
    <w:p>
      <w:pPr>
        <w:ind w:right="34" w:firstLine="567"/>
        <w:spacing w:after="60"/>
        <w:rPr>
          <w:sz w:val="22"/>
          <w:szCs w:val="28"/>
          <w:lang w:eastAsia="ar-SA"/>
        </w:rPr>
      </w:pPr>
      <w:r>
        <w:rPr>
          <w:sz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  <w:r>
        <w:rPr>
          <w:sz w:val="22"/>
          <w:szCs w:val="28"/>
          <w:lang w:eastAsia="ar-SA"/>
        </w:rPr>
      </w:r>
    </w:p>
    <w:p>
      <w:pPr>
        <w:ind w:right="34" w:firstLine="567"/>
        <w:spacing w:after="60"/>
        <w:rPr>
          <w:sz w:val="20"/>
          <w:lang w:eastAsia="ar-SA"/>
        </w:rPr>
      </w:pPr>
      <w:r>
        <w:rPr>
          <w:sz w:val="18"/>
          <w:szCs w:val="22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sz w:val="20"/>
          <w:szCs w:val="22"/>
          <w:lang w:eastAsia="ar-SA"/>
        </w:rPr>
        <w:t xml:space="preserve">)</w:t>
      </w:r>
      <w:r>
        <w:rPr>
          <w:sz w:val="20"/>
          <w:lang w:eastAsia="ar-SA"/>
        </w:rPr>
      </w:r>
      <w:r>
        <w:rPr>
          <w:sz w:val="20"/>
          <w:lang w:eastAsia="ar-SA"/>
        </w:rPr>
      </w:r>
    </w:p>
    <w:p>
      <w:pPr>
        <w:ind w:right="34" w:firstLine="709"/>
        <w:spacing w:after="60"/>
        <w:rPr>
          <w:b/>
          <w:bCs/>
          <w:sz w:val="22"/>
          <w:lang w:eastAsia="ar-SA"/>
        </w:rPr>
      </w:pPr>
      <w:r>
        <w:rPr>
          <w:b/>
          <w:bCs/>
          <w:sz w:val="22"/>
          <w:lang w:eastAsia="ar-SA"/>
        </w:rPr>
        <w:t xml:space="preserve">                 М.П.</w:t>
      </w:r>
      <w:r>
        <w:rPr>
          <w:b/>
          <w:bCs/>
          <w:sz w:val="22"/>
          <w:lang w:eastAsia="ar-SA"/>
        </w:rPr>
      </w:r>
      <w:r>
        <w:rPr>
          <w:b/>
          <w:bCs/>
          <w:sz w:val="22"/>
          <w:lang w:eastAsia="ar-SA"/>
        </w:rPr>
      </w:r>
    </w:p>
    <w:p>
      <w:pPr>
        <w:ind w:right="34"/>
        <w:spacing w:after="60"/>
        <w:widowControl w:val="off"/>
        <w:rPr>
          <w:bCs/>
          <w:sz w:val="28"/>
          <w:szCs w:val="22"/>
          <w:lang w:eastAsia="en-US"/>
        </w:rPr>
      </w:pPr>
      <w:r>
        <w:rPr>
          <w:bCs/>
          <w:sz w:val="28"/>
          <w:szCs w:val="22"/>
          <w:lang w:eastAsia="en-US"/>
        </w:rPr>
      </w:r>
      <w:r>
        <w:rPr>
          <w:bCs/>
          <w:sz w:val="28"/>
          <w:szCs w:val="22"/>
          <w:lang w:eastAsia="en-US"/>
        </w:rPr>
      </w:r>
      <w:r>
        <w:rPr>
          <w:bCs/>
          <w:sz w:val="28"/>
          <w:szCs w:val="22"/>
          <w:lang w:eastAsia="en-US"/>
        </w:rPr>
      </w:r>
    </w:p>
    <w:p>
      <w:pPr>
        <w:ind w:right="34" w:firstLine="709"/>
        <w:jc w:val="both"/>
        <w:spacing w:after="60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  <w:lang w:eastAsia="en-US"/>
        </w:rPr>
        <w:t xml:space="preserve">Примечание: Заполняется по всей номенклатуре на основании спецификации оборудования, материалов и изделий, принятой в рабочей проектной документации.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1055"/>
        <w:jc w:val="center"/>
        <w:spacing w:after="0"/>
        <w:tabs>
          <w:tab w:val="num" w:pos="0" w:leader="none"/>
        </w:tabs>
        <w:rPr>
          <w:sz w:val="24"/>
          <w:szCs w:val="24"/>
        </w:rPr>
      </w:pPr>
      <w:r>
        <w:rPr>
          <w:sz w:val="20"/>
        </w:rPr>
        <w:br w:type="page" w:clear="all"/>
      </w:r>
      <w:bookmarkStart w:id="27" w:name="_Toc536483696"/>
      <w:r/>
      <w:bookmarkStart w:id="28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АНТИКОРРУПЦИОННЫЕ ОБЯЗАТЕЛЬСТВА</w:t>
      </w:r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</w:t>
      </w:r>
      <w:r>
        <w:rPr>
          <w:color w:val="000000"/>
          <w:highlight w:val="white"/>
        </w:rPr>
        <w:t xml:space="preserve">нный в </w:t>
      </w:r>
      <w:r>
        <w:rPr>
          <w:color w:val="000000"/>
          <w:highlight w:val="white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</w:r>
      <w:r>
        <w:t xml:space="preserve">Ознакомлен с Антикоррупционной политикой АО «Россети Сибирь Тываэнерго», утвержденной решением Совета директоров АО «Россети Сибирь Тываэнерго» (протокол Совета директоров от 25.08.2023 № 47/23) (далее - Антикоррупционная политика)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23"/>
        </w:numPr>
        <w:contextualSpacing/>
        <w:ind w:left="0" w:firstLine="709"/>
        <w:jc w:val="both"/>
        <w:widowControl w:val="off"/>
      </w:pPr>
      <w:r>
        <w:rPr>
          <w:highlight w:val="white"/>
        </w:rPr>
        <w:t xml:space="preserve">Согласен с принимаемыми в ПАО «Россети Сибирь» мерами, направле</w:t>
      </w:r>
      <w:r>
        <w:rPr>
          <w:highlight w:val="white"/>
        </w:rPr>
        <w:t xml:space="preserve">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</w:t>
      </w:r>
      <w:r>
        <w:t xml:space="preserve">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19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18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  <w:r>
        <w:rPr>
          <w:i/>
          <w:color w:val="2f2c2d"/>
          <w:shd w:val="clear" w:color="auto" w:fill="ffffff"/>
        </w:rPr>
      </w:r>
    </w:p>
    <w:p>
      <w:r/>
      <w:bookmarkEnd w:id="28"/>
      <w:r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29" w:name="_Toc307936265"/>
      <w:r/>
      <w:bookmarkStart w:id="30" w:name="_Toc255987075"/>
      <w:r/>
      <w:bookmarkStart w:id="31" w:name="_Toc298234713"/>
      <w:r/>
      <w:bookmarkStart w:id="32" w:name="_Toc536483699"/>
      <w:r>
        <w:rPr>
          <w:b/>
        </w:rPr>
        <w:t xml:space="preserve">ФОРМА 5</w:t>
      </w:r>
      <w:r>
        <w:rPr>
          <w:b/>
          <w:caps/>
        </w:rPr>
        <w:t xml:space="preserve">. </w:t>
      </w:r>
      <w:bookmarkEnd w:id="29"/>
      <w:r/>
      <w:bookmarkEnd w:id="30"/>
      <w:r/>
      <w:bookmarkEnd w:id="31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32"/>
      <w:r>
        <w:rPr>
          <w:b/>
          <w:caps/>
        </w:rPr>
      </w:r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33" w:name="_Toc127334290"/>
      <w:r/>
      <w:bookmarkEnd w:id="33"/>
      <w:r/>
      <w:r/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55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34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6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3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35" w:name="_Toc476225313"/>
            <w:r/>
            <w:bookmarkStart w:id="36" w:name="_Toc485198248"/>
            <w:r/>
            <w:bookmarkStart w:id="37" w:name="_Toc536483703"/>
            <w:r/>
            <w:bookmarkStart w:id="38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35"/>
            <w:r/>
            <w:bookmarkEnd w:id="36"/>
            <w:r/>
            <w:bookmarkEnd w:id="37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9" w:name="_Toc476225314"/>
            <w:r/>
            <w:bookmarkStart w:id="40" w:name="_Toc485198249"/>
            <w:r/>
            <w:bookmarkStart w:id="41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38"/>
            <w:r/>
            <w:bookmarkEnd w:id="39"/>
            <w:r/>
            <w:bookmarkEnd w:id="4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2" w:name="_Toc476225315"/>
            <w:r/>
            <w:bookmarkStart w:id="43" w:name="_Toc485198250"/>
            <w:r/>
            <w:bookmarkStart w:id="44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41"/>
            <w:r/>
            <w:bookmarkEnd w:id="42"/>
            <w:r/>
            <w:bookmarkEnd w:id="4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5" w:name="_Toc476225316"/>
            <w:r/>
            <w:bookmarkStart w:id="46" w:name="_Toc485198251"/>
            <w:r/>
            <w:bookmarkStart w:id="47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44"/>
            <w:r/>
            <w:bookmarkEnd w:id="45"/>
            <w:r/>
            <w:bookmarkEnd w:id="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8" w:name="_Toc476225317"/>
            <w:r/>
            <w:bookmarkStart w:id="49" w:name="_Toc485198252"/>
            <w:r/>
            <w:bookmarkStart w:id="50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47"/>
            <w:r/>
            <w:bookmarkEnd w:id="48"/>
            <w:r/>
            <w:bookmarkEnd w:id="4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1" w:name="_Toc476225318"/>
            <w:r/>
            <w:bookmarkStart w:id="52" w:name="_Toc485198253"/>
            <w:r/>
            <w:bookmarkStart w:id="53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50"/>
            <w:r/>
            <w:bookmarkEnd w:id="51"/>
            <w:r/>
            <w:bookmarkEnd w:id="5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4" w:name="_Toc476225319"/>
            <w:r/>
            <w:bookmarkStart w:id="55" w:name="_Toc485198254"/>
            <w:r/>
            <w:bookmarkStart w:id="56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53"/>
            <w:r/>
            <w:bookmarkEnd w:id="54"/>
            <w:r/>
            <w:bookmarkEnd w:id="5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7" w:name="_Toc476225320"/>
            <w:r/>
            <w:bookmarkStart w:id="58" w:name="_Toc485198255"/>
            <w:r/>
            <w:bookmarkStart w:id="59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56"/>
            <w:r/>
            <w:bookmarkEnd w:id="57"/>
            <w:r/>
            <w:bookmarkEnd w:id="5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0" w:name="_Toc476225321"/>
            <w:r/>
            <w:bookmarkStart w:id="61" w:name="_Toc485198256"/>
            <w:r/>
            <w:bookmarkStart w:id="62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59"/>
            <w:r/>
            <w:bookmarkEnd w:id="60"/>
            <w:r/>
            <w:bookmarkEnd w:id="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3" w:name="_Toc476225322"/>
            <w:r/>
            <w:bookmarkStart w:id="64" w:name="_Toc485198257"/>
            <w:r/>
            <w:bookmarkStart w:id="65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62"/>
            <w:r/>
            <w:bookmarkEnd w:id="63"/>
            <w:r/>
            <w:bookmarkEnd w:id="6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6" w:name="_Toc476225323"/>
            <w:r/>
            <w:bookmarkStart w:id="67" w:name="_Toc485198258"/>
            <w:r/>
            <w:bookmarkStart w:id="68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65"/>
            <w:r/>
            <w:bookmarkEnd w:id="66"/>
            <w:r/>
            <w:bookmarkEnd w:id="6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9" w:name="_Toc476225324"/>
            <w:r/>
            <w:bookmarkStart w:id="70" w:name="_Toc485198259"/>
            <w:r/>
            <w:bookmarkStart w:id="71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68"/>
            <w:r/>
            <w:bookmarkEnd w:id="69"/>
            <w:r/>
            <w:bookmarkEnd w:id="7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2" w:name="_Toc476225325"/>
            <w:r/>
            <w:bookmarkStart w:id="73" w:name="_Toc485198260"/>
            <w:r/>
            <w:bookmarkStart w:id="74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71"/>
            <w:r/>
            <w:bookmarkEnd w:id="72"/>
            <w:r/>
            <w:bookmarkEnd w:id="7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5" w:name="_Toc476225326"/>
            <w:r/>
            <w:bookmarkStart w:id="76" w:name="_Toc485198261"/>
            <w:r/>
            <w:bookmarkStart w:id="77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74"/>
            <w:r/>
            <w:bookmarkEnd w:id="75"/>
            <w:r/>
            <w:bookmarkEnd w:id="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8" w:name="_Toc476225327"/>
            <w:r/>
            <w:bookmarkStart w:id="79" w:name="_Toc485198262"/>
            <w:r/>
            <w:bookmarkStart w:id="80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7"/>
            <w:r/>
            <w:bookmarkEnd w:id="78"/>
            <w:r/>
            <w:bookmarkEnd w:id="7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1" w:name="_Toc476225328"/>
            <w:r/>
            <w:bookmarkStart w:id="82" w:name="_Toc485198263"/>
            <w:r/>
            <w:bookmarkStart w:id="83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80"/>
            <w:r/>
            <w:bookmarkEnd w:id="81"/>
            <w:r/>
            <w:bookmarkEnd w:id="8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4" w:name="_Toc476225329"/>
            <w:r/>
            <w:bookmarkStart w:id="85" w:name="_Toc485198264"/>
            <w:r/>
            <w:bookmarkStart w:id="86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83"/>
            <w:r/>
            <w:bookmarkEnd w:id="84"/>
            <w:r/>
            <w:bookmarkEnd w:id="8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7" w:name="_Toc476225330"/>
            <w:r/>
            <w:bookmarkStart w:id="88" w:name="_Toc485198265"/>
            <w:r/>
            <w:bookmarkStart w:id="89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6"/>
            <w:r/>
            <w:bookmarkEnd w:id="87"/>
            <w:r/>
            <w:bookmarkEnd w:id="8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0" w:name="_Toc476225331"/>
            <w:r/>
            <w:bookmarkStart w:id="91" w:name="_Toc485198266"/>
            <w:r/>
            <w:bookmarkStart w:id="92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89"/>
            <w:r/>
            <w:bookmarkEnd w:id="90"/>
            <w:r/>
            <w:bookmarkEnd w:id="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3" w:name="_Toc476225332"/>
            <w:r/>
            <w:bookmarkStart w:id="94" w:name="_Toc485198267"/>
            <w:r/>
            <w:bookmarkStart w:id="95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92"/>
            <w:r/>
            <w:bookmarkEnd w:id="93"/>
            <w:r/>
            <w:bookmarkEnd w:id="9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6" w:name="_Toc476225333"/>
            <w:r/>
            <w:bookmarkStart w:id="97" w:name="_Toc485198268"/>
            <w:r/>
            <w:bookmarkStart w:id="98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95"/>
            <w:r/>
            <w:bookmarkEnd w:id="96"/>
            <w:r/>
            <w:bookmarkEnd w:id="9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9" w:name="_Toc476225334"/>
            <w:r/>
            <w:bookmarkStart w:id="100" w:name="_Toc485198269"/>
            <w:r/>
            <w:bookmarkStart w:id="101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98"/>
            <w:r/>
            <w:bookmarkEnd w:id="99"/>
            <w:r/>
            <w:bookmarkEnd w:id="10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2" w:name="_Toc476225335"/>
            <w:r/>
            <w:bookmarkStart w:id="103" w:name="_Toc485198270"/>
            <w:r/>
            <w:bookmarkStart w:id="104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01"/>
            <w:r/>
            <w:bookmarkEnd w:id="102"/>
            <w:r/>
            <w:bookmarkEnd w:id="10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5" w:name="_Toc476225336"/>
            <w:r/>
            <w:bookmarkStart w:id="106" w:name="_Toc485198271"/>
            <w:r/>
            <w:bookmarkStart w:id="107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04"/>
            <w:r/>
            <w:bookmarkEnd w:id="105"/>
            <w:r/>
            <w:bookmarkEnd w:id="1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8" w:name="_Toc476225337"/>
            <w:r/>
            <w:bookmarkStart w:id="109" w:name="_Toc485198272"/>
            <w:r/>
            <w:bookmarkStart w:id="110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07"/>
            <w:r/>
            <w:bookmarkEnd w:id="108"/>
            <w:r/>
            <w:bookmarkEnd w:id="10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1" w:name="_Toc476225338"/>
            <w:r/>
            <w:bookmarkStart w:id="112" w:name="_Toc485198273"/>
            <w:r/>
            <w:bookmarkStart w:id="113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10"/>
            <w:r/>
            <w:bookmarkEnd w:id="111"/>
            <w:r/>
            <w:bookmarkEnd w:id="1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4" w:name="_Toc476225339"/>
            <w:r/>
            <w:bookmarkStart w:id="115" w:name="_Toc485198274"/>
            <w:r/>
            <w:bookmarkStart w:id="116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13"/>
            <w:r/>
            <w:bookmarkEnd w:id="114"/>
            <w:r/>
            <w:bookmarkEnd w:id="11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7" w:name="_Toc476225340"/>
            <w:r/>
            <w:bookmarkStart w:id="118" w:name="_Toc485198275"/>
            <w:r/>
            <w:bookmarkStart w:id="119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16"/>
            <w:r/>
            <w:bookmarkEnd w:id="117"/>
            <w:r/>
            <w:bookmarkEnd w:id="11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0" w:name="_Toc476225341"/>
            <w:r/>
            <w:bookmarkStart w:id="121" w:name="_Toc485198276"/>
            <w:r/>
            <w:bookmarkStart w:id="122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19"/>
            <w:r/>
            <w:bookmarkEnd w:id="120"/>
            <w:r/>
            <w:bookmarkEnd w:id="1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3" w:name="_Toc476225342"/>
            <w:r/>
            <w:bookmarkStart w:id="124" w:name="_Toc485198277"/>
            <w:r/>
            <w:bookmarkStart w:id="125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22"/>
            <w:r/>
            <w:bookmarkEnd w:id="123"/>
            <w:r/>
            <w:bookmarkEnd w:id="12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6" w:name="_Toc476225343"/>
            <w:r/>
            <w:bookmarkStart w:id="127" w:name="_Toc485198278"/>
            <w:r/>
            <w:bookmarkStart w:id="128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25"/>
            <w:r/>
            <w:bookmarkEnd w:id="126"/>
            <w:r/>
            <w:bookmarkEnd w:id="12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9" w:name="_Toc476225344"/>
            <w:r/>
            <w:bookmarkStart w:id="130" w:name="_Toc485198279"/>
            <w:r/>
            <w:bookmarkStart w:id="131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28"/>
            <w:r/>
            <w:bookmarkEnd w:id="129"/>
            <w:r/>
            <w:bookmarkEnd w:id="13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2" w:name="_Toc476225345"/>
            <w:r/>
            <w:bookmarkStart w:id="133" w:name="_Toc485198280"/>
            <w:r/>
            <w:bookmarkStart w:id="134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31"/>
            <w:r/>
            <w:bookmarkEnd w:id="132"/>
            <w:r/>
            <w:bookmarkEnd w:id="13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35" w:name="_Toc476225346"/>
            <w:r/>
            <w:bookmarkStart w:id="136" w:name="_Toc485198281"/>
            <w:r/>
            <w:bookmarkStart w:id="137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34"/>
            <w:r/>
            <w:bookmarkEnd w:id="135"/>
            <w:r/>
            <w:bookmarkEnd w:id="136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8" w:name="_Toc476225347"/>
            <w:r/>
            <w:bookmarkStart w:id="139" w:name="_Toc485198282"/>
            <w:r/>
            <w:bookmarkStart w:id="140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37"/>
            <w:r/>
            <w:bookmarkEnd w:id="138"/>
            <w:r/>
            <w:bookmarkEnd w:id="13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1" w:name="_Toc476225348"/>
            <w:r/>
            <w:bookmarkStart w:id="142" w:name="_Toc485198283"/>
            <w:r/>
            <w:bookmarkStart w:id="143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40"/>
            <w:r/>
            <w:bookmarkEnd w:id="141"/>
            <w:r/>
            <w:bookmarkEnd w:id="14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4" w:name="_Toc476225349"/>
            <w:r/>
            <w:bookmarkStart w:id="145" w:name="_Toc485198284"/>
            <w:r/>
            <w:bookmarkStart w:id="146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43"/>
            <w:r/>
            <w:bookmarkEnd w:id="144"/>
            <w:r/>
            <w:bookmarkEnd w:id="14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476225350"/>
            <w:r/>
            <w:bookmarkStart w:id="148" w:name="_Toc485198285"/>
            <w:r/>
            <w:bookmarkStart w:id="149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46"/>
            <w:r/>
            <w:bookmarkEnd w:id="147"/>
            <w:r/>
            <w:bookmarkEnd w:id="14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0" w:name="_Toc476225351"/>
            <w:r/>
            <w:bookmarkStart w:id="151" w:name="_Toc485198286"/>
            <w:r/>
            <w:bookmarkStart w:id="152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49"/>
            <w:r/>
            <w:bookmarkEnd w:id="150"/>
            <w:r/>
            <w:bookmarkEnd w:id="15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476225352"/>
            <w:r/>
            <w:bookmarkStart w:id="154" w:name="_Toc485198287"/>
            <w:r/>
            <w:bookmarkStart w:id="155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52"/>
            <w:r/>
            <w:bookmarkEnd w:id="153"/>
            <w:r/>
            <w:bookmarkEnd w:id="15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6" w:name="_Toc476225353"/>
            <w:r/>
            <w:bookmarkStart w:id="157" w:name="_Toc485198288"/>
            <w:r/>
            <w:bookmarkStart w:id="158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55"/>
            <w:r/>
            <w:bookmarkEnd w:id="156"/>
            <w:r/>
            <w:bookmarkEnd w:id="15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9" w:name="_Toc476225354"/>
            <w:r/>
            <w:bookmarkStart w:id="160" w:name="_Toc485198289"/>
            <w:r/>
            <w:bookmarkStart w:id="161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58"/>
            <w:r/>
            <w:bookmarkEnd w:id="159"/>
            <w:r/>
            <w:bookmarkEnd w:id="16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476225355"/>
            <w:r/>
            <w:bookmarkStart w:id="163" w:name="_Toc485198290"/>
            <w:r/>
            <w:bookmarkStart w:id="164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61"/>
            <w:r/>
            <w:bookmarkEnd w:id="162"/>
            <w:r/>
            <w:bookmarkEnd w:id="16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5" w:name="_Toc476225356"/>
            <w:r/>
            <w:bookmarkStart w:id="166" w:name="_Toc485198291"/>
            <w:r/>
            <w:bookmarkStart w:id="167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64"/>
            <w:r/>
            <w:bookmarkEnd w:id="165"/>
            <w:r/>
            <w:bookmarkEnd w:id="1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8" w:name="_Toc476225357"/>
            <w:r/>
            <w:bookmarkStart w:id="169" w:name="_Toc485198292"/>
            <w:r/>
            <w:bookmarkStart w:id="170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67"/>
            <w:r/>
            <w:bookmarkEnd w:id="168"/>
            <w:r/>
            <w:bookmarkEnd w:id="16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1" w:name="_Toc476225358"/>
            <w:r/>
            <w:bookmarkStart w:id="172" w:name="_Toc485198293"/>
            <w:r/>
            <w:bookmarkStart w:id="173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70"/>
            <w:r/>
            <w:bookmarkEnd w:id="171"/>
            <w:r/>
            <w:bookmarkEnd w:id="17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4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7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476225359"/>
            <w:r/>
            <w:bookmarkStart w:id="176" w:name="_Toc485198294"/>
            <w:r/>
            <w:bookmarkStart w:id="177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74"/>
            <w:r/>
            <w:bookmarkEnd w:id="175"/>
            <w:r/>
            <w:bookmarkEnd w:id="1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476225360"/>
            <w:r/>
            <w:bookmarkStart w:id="179" w:name="_Toc485198295"/>
            <w:r/>
            <w:bookmarkStart w:id="180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77"/>
            <w:r/>
            <w:bookmarkEnd w:id="178"/>
            <w:r/>
            <w:bookmarkEnd w:id="17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1" w:name="_Toc476225361"/>
            <w:r/>
            <w:bookmarkStart w:id="182" w:name="_Toc485198296"/>
            <w:r/>
            <w:bookmarkStart w:id="183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80"/>
            <w:r/>
            <w:bookmarkEnd w:id="181"/>
            <w:r/>
            <w:bookmarkEnd w:id="18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4" w:name="_Toc476225362"/>
            <w:r/>
            <w:bookmarkStart w:id="185" w:name="_Toc485198297"/>
            <w:r/>
            <w:bookmarkStart w:id="186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83"/>
            <w:r/>
            <w:bookmarkEnd w:id="184"/>
            <w:r/>
            <w:bookmarkEnd w:id="18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476225363"/>
            <w:r/>
            <w:bookmarkStart w:id="188" w:name="_Toc485198298"/>
            <w:r/>
            <w:bookmarkStart w:id="189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86"/>
            <w:r/>
            <w:bookmarkEnd w:id="187"/>
            <w:r/>
            <w:bookmarkEnd w:id="18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0" w:name="_Toc476225364"/>
            <w:r/>
            <w:bookmarkStart w:id="191" w:name="_Toc485198299"/>
            <w:r/>
            <w:bookmarkStart w:id="192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89"/>
            <w:r/>
            <w:bookmarkEnd w:id="190"/>
            <w:r/>
            <w:bookmarkEnd w:id="1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476225365"/>
            <w:r/>
            <w:bookmarkStart w:id="194" w:name="_Toc485198300"/>
            <w:r/>
            <w:bookmarkStart w:id="195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92"/>
            <w:r/>
            <w:bookmarkEnd w:id="193"/>
            <w:r/>
            <w:bookmarkEnd w:id="19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6" w:name="_Toc476225366"/>
            <w:r/>
            <w:bookmarkStart w:id="197" w:name="_Toc485198301"/>
            <w:r/>
            <w:bookmarkStart w:id="198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95"/>
            <w:r/>
            <w:bookmarkEnd w:id="196"/>
            <w:r/>
            <w:bookmarkEnd w:id="19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9" w:name="_Toc476225367"/>
            <w:r/>
            <w:bookmarkStart w:id="200" w:name="_Toc485198302"/>
            <w:r/>
            <w:bookmarkStart w:id="201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98"/>
            <w:r/>
            <w:bookmarkEnd w:id="199"/>
            <w:r/>
            <w:bookmarkEnd w:id="20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476225368"/>
            <w:r/>
            <w:bookmarkStart w:id="203" w:name="_Toc485198303"/>
            <w:r/>
            <w:bookmarkStart w:id="204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01"/>
            <w:r/>
            <w:bookmarkEnd w:id="202"/>
            <w:r/>
            <w:bookmarkEnd w:id="20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5" w:name="_Toc476225369"/>
            <w:r/>
            <w:bookmarkStart w:id="206" w:name="_Toc485198304"/>
            <w:r/>
            <w:bookmarkStart w:id="207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04"/>
            <w:r/>
            <w:bookmarkEnd w:id="205"/>
            <w:r/>
            <w:bookmarkEnd w:id="2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476225370"/>
            <w:r/>
            <w:bookmarkStart w:id="209" w:name="_Toc485198305"/>
            <w:r/>
            <w:bookmarkStart w:id="210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7"/>
            <w:r/>
            <w:bookmarkEnd w:id="208"/>
            <w:r/>
            <w:bookmarkEnd w:id="20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1" w:name="_Toc476225371"/>
            <w:r/>
            <w:bookmarkStart w:id="212" w:name="_Toc485198306"/>
            <w:r/>
            <w:bookmarkStart w:id="213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10"/>
            <w:r/>
            <w:bookmarkEnd w:id="211"/>
            <w:r/>
            <w:bookmarkEnd w:id="2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4" w:name="_Toc476225372"/>
            <w:r/>
            <w:bookmarkStart w:id="215" w:name="_Toc485198307"/>
            <w:r/>
            <w:bookmarkStart w:id="216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13"/>
            <w:r/>
            <w:bookmarkEnd w:id="214"/>
            <w:r/>
            <w:bookmarkEnd w:id="21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7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8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9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1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0" w:name="_Toc476225375"/>
      <w:r/>
      <w:bookmarkStart w:id="221" w:name="_Toc485198310"/>
      <w:r/>
      <w:bookmarkStart w:id="222" w:name="_Toc536483767"/>
      <w:r/>
      <w:bookmarkEnd w:id="219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20"/>
      <w:r/>
      <w:bookmarkEnd w:id="221"/>
      <w:r/>
      <w:bookmarkEnd w:id="222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3" w:name="_Toc476225376"/>
      <w:r/>
      <w:bookmarkStart w:id="224" w:name="_Toc485198311"/>
      <w:r/>
      <w:bookmarkStart w:id="225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23"/>
      <w:r/>
      <w:bookmarkEnd w:id="224"/>
      <w:r/>
      <w:bookmarkEnd w:id="225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6" w:name="_Toc404866844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7" w:name="_Toc476225377"/>
      <w:r/>
      <w:bookmarkStart w:id="228" w:name="_Toc485198312"/>
      <w:r/>
      <w:bookmarkStart w:id="229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6"/>
      <w:r/>
      <w:bookmarkEnd w:id="227"/>
      <w:r/>
      <w:bookmarkEnd w:id="228"/>
      <w:r/>
      <w:bookmarkEnd w:id="229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30" w:name="_Toc404866845"/>
      <w:r/>
      <w:bookmarkStart w:id="231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2" w:name="_Toc476225378"/>
      <w:r/>
      <w:bookmarkStart w:id="233" w:name="_Toc485198313"/>
      <w:r/>
      <w:bookmarkStart w:id="234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30"/>
      <w:r/>
      <w:bookmarkEnd w:id="231"/>
      <w:r/>
      <w:bookmarkEnd w:id="232"/>
      <w:r/>
      <w:bookmarkEnd w:id="233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34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5" w:name="_Toc404866846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6" w:name="_Toc476225379"/>
      <w:r/>
      <w:bookmarkStart w:id="237" w:name="_Toc485198314"/>
      <w:r/>
      <w:bookmarkStart w:id="238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35"/>
      <w:r/>
      <w:bookmarkEnd w:id="236"/>
      <w:r/>
      <w:bookmarkEnd w:id="237"/>
      <w:r/>
      <w:bookmarkEnd w:id="238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55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39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39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40" w:name="_Toc536567239"/>
      <w:r/>
      <w:bookmarkStart w:id="241" w:name="_Toc5779098"/>
      <w:r/>
      <w:bookmarkStart w:id="242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40"/>
      <w:r/>
      <w:bookmarkEnd w:id="241"/>
      <w:r/>
      <w:bookmarkEnd w:id="242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</w:t>
      </w:r>
      <w:r>
        <w:rPr>
          <w:color w:val="000000"/>
          <w:sz w:val="26"/>
          <w:szCs w:val="26"/>
        </w:rPr>
        <w:t xml:space="preserve">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  <w:r>
        <w:rPr>
          <w:bCs/>
          <w:sz w:val="20"/>
        </w:rPr>
      </w:r>
    </w:p>
    <w:p>
      <w:pPr>
        <w:pStyle w:val="1055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bookmarkStart w:id="243" w:name="_Toc536483774"/>
      <w:r/>
      <w:bookmarkStart w:id="244" w:name="_Toc5779099"/>
      <w:r>
        <w:rPr>
          <w:caps/>
          <w:sz w:val="24"/>
          <w:szCs w:val="24"/>
        </w:rPr>
        <w:t xml:space="preserve">ФОРМА 8. Справка о материально-технических ресурсах</w:t>
      </w:r>
      <w:bookmarkEnd w:id="243"/>
      <w:r/>
      <w:bookmarkEnd w:id="2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ind w:right="34" w:firstLine="567"/>
        <w:widowControl w:val="off"/>
        <w:rPr>
          <w:bCs/>
        </w:rPr>
        <w:outlineLvl w:val="0"/>
      </w:pPr>
      <w:r/>
      <w:bookmarkStart w:id="245" w:name="_Toc476225387"/>
      <w:r/>
      <w:bookmarkStart w:id="246" w:name="_Toc485198322"/>
      <w:r/>
      <w:bookmarkStart w:id="247" w:name="_Toc536483775"/>
      <w:r/>
      <w:bookmarkStart w:id="248" w:name="_Toc536567241"/>
      <w:r/>
      <w:bookmarkStart w:id="249" w:name="_Toc5779100"/>
      <w:r>
        <w:rPr>
          <w:bCs/>
        </w:rPr>
        <w:t xml:space="preserve">Способ и наименование закупки, с указанием № на ЭП __________________</w:t>
      </w:r>
      <w:bookmarkEnd w:id="245"/>
      <w:r/>
      <w:bookmarkEnd w:id="246"/>
      <w:r/>
      <w:bookmarkEnd w:id="247"/>
      <w:r/>
      <w:bookmarkEnd w:id="248"/>
      <w:r/>
      <w:bookmarkEnd w:id="249"/>
      <w:r>
        <w:rPr>
          <w:bCs/>
        </w:rPr>
      </w:r>
      <w:r>
        <w:rPr>
          <w:bCs/>
        </w:rPr>
      </w:r>
    </w:p>
    <w:p>
      <w:pPr>
        <w:ind w:right="34" w:firstLine="567"/>
        <w:widowControl w:val="off"/>
        <w:rPr>
          <w:i/>
          <w:iCs/>
          <w:sz w:val="22"/>
          <w:szCs w:val="22"/>
          <w:lang w:eastAsia="ar-SA"/>
        </w:rPr>
        <w:outlineLvl w:val="0"/>
      </w:pPr>
      <w:r/>
      <w:bookmarkStart w:id="250" w:name="_Toc476225388"/>
      <w:r/>
      <w:bookmarkStart w:id="251" w:name="_Toc485198323"/>
      <w:r/>
      <w:bookmarkStart w:id="252" w:name="_Toc536483776"/>
      <w:r/>
      <w:bookmarkStart w:id="253" w:name="_Toc536567242"/>
      <w:r/>
      <w:bookmarkStart w:id="254" w:name="_Toc5779101"/>
      <w:r>
        <w:rPr>
          <w:bCs/>
          <w:sz w:val="22"/>
          <w:szCs w:val="22"/>
          <w:lang w:eastAsia="ar-SA"/>
        </w:rPr>
        <w:t xml:space="preserve">Наименование и адрес участника  </w:t>
      </w:r>
      <w:r>
        <w:rPr>
          <w:bCs/>
          <w:i/>
          <w:iCs/>
          <w:sz w:val="22"/>
          <w:szCs w:val="22"/>
          <w:lang w:eastAsia="ar-SA"/>
        </w:rPr>
        <w:t xml:space="preserve">(генподрядчика)_____________________________</w:t>
      </w:r>
      <w:bookmarkEnd w:id="250"/>
      <w:r/>
      <w:bookmarkEnd w:id="251"/>
      <w:r/>
      <w:bookmarkEnd w:id="252"/>
      <w:r/>
      <w:bookmarkEnd w:id="253"/>
      <w:r/>
      <w:bookmarkEnd w:id="254"/>
      <w:r>
        <w:rPr>
          <w:i/>
          <w:iCs/>
          <w:sz w:val="22"/>
          <w:szCs w:val="22"/>
          <w:lang w:eastAsia="ar-SA"/>
        </w:rPr>
      </w:r>
      <w:r>
        <w:rPr>
          <w:i/>
          <w:i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Наименование субподрядчиков (членов коллективного участника):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1.____________________________________________________________________________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2. 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….___________________________________________________________________________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701"/>
        <w:gridCol w:w="1559"/>
        <w:gridCol w:w="1418"/>
        <w:gridCol w:w="1276"/>
        <w:gridCol w:w="12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МТР (марка, основные. характеристики)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 выпуска (производства) МТР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Идентификационные учетные данные МТР (гос. регистрац. номер для автотранспорта, инв. №, и т.п.)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Местонахождение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Принадлежность, право собственности или иное право (в случае аренды указать арендодателя)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Предназначение МТР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Примечание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 xml:space="preserve">Здания и помещения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sz w:val="20"/>
              </w:rPr>
              <w:t xml:space="preserve">Автотранспорт и спецтехника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Компьютеры и оргтехника 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Специализированное лицензионное программное обеспечение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540" w:right="34" w:firstLine="567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                              ____________________________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(Подпись уполномоченного представителя)</w:t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  <w:t xml:space="preserve">(ФИО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ab/>
        <w:t xml:space="preserve">МП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709"/>
        <w:spacing w:after="120"/>
        <w:widowControl w:val="off"/>
      </w:pPr>
      <w:r>
        <w:t xml:space="preserve">Инструкции по заполнению:</w:t>
      </w:r>
      <w:r/>
    </w:p>
    <w:p>
      <w:pPr>
        <w:numPr>
          <w:ilvl w:val="3"/>
          <w:numId w:val="29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3"/>
          <w:numId w:val="29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В таблице указываются сведения только об основных машинах и механизмах, измерительных и испытательных установках, специальном оборудовании которые будут применяться при выполнении работ согласно договору.</w:t>
      </w:r>
      <w:r/>
    </w:p>
    <w:p>
      <w:pPr>
        <w:numPr>
          <w:ilvl w:val="3"/>
          <w:numId w:val="29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Обязательны</w:t>
      </w:r>
      <w:r>
        <w:t xml:space="preserve">м является указание принадлежности МТР (подрядчик, субподрядчик, аренда и т.п.), с учетом распределения выполнения объемов работ. По всем видам автотранспортной техники необходимо приложить полиса ОСАГО или свидетельства о регистрации транспортных средств.</w:t>
      </w:r>
      <w:r/>
    </w:p>
    <w:p>
      <w:pPr>
        <w:jc w:val="center"/>
        <w:widowControl w:val="off"/>
        <w:rPr>
          <w:b/>
          <w:caps/>
        </w:rPr>
      </w:pPr>
      <w:r>
        <w:br w:type="page" w:clear="all"/>
      </w:r>
      <w:bookmarkStart w:id="255" w:name="_Toc536483777"/>
      <w:r/>
      <w:bookmarkStart w:id="256" w:name="_Toc5779102"/>
      <w:r>
        <w:rPr>
          <w:b/>
          <w:caps/>
        </w:rPr>
        <w:t xml:space="preserve">ФОРМА 9. Справка о кадровых ресурсах</w:t>
      </w:r>
      <w:bookmarkEnd w:id="255"/>
      <w:r/>
      <w:bookmarkEnd w:id="256"/>
      <w:r>
        <w:rPr>
          <w:b/>
          <w:caps/>
        </w:rPr>
      </w:r>
      <w:r>
        <w:rPr>
          <w:b/>
          <w:caps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57" w:name="_Toc307936277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Справка о кадровых ресурсах</w:t>
      </w:r>
      <w:bookmarkEnd w:id="257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Участник закупки (генподрядчик): 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>
        <w:t xml:space="preserve">Субподрядчики (члены коллективного участника):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1. ________________________________________________________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2. ________________________________________________________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…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161"/>
        <w:gridCol w:w="1421"/>
        <w:gridCol w:w="1350"/>
        <w:gridCol w:w="1305"/>
        <w:gridCol w:w="1344"/>
        <w:gridCol w:w="1307"/>
        <w:gridCol w:w="1307"/>
      </w:tblGrid>
      <w:tr>
        <w:tblPrEx/>
        <w:trPr>
          <w:tblHeader/>
        </w:trPr>
        <w:tc>
          <w:tcPr>
            <w:tcW w:w="1060" w:type="pct"/>
            <w:vAlign w:val="center"/>
            <w:vMerge w:val="restar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Штатный персонал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35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Генподрядчик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9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  <w:tblHeader/>
        </w:trPr>
        <w:tc>
          <w:tcPr>
            <w:tcW w:w="1060" w:type="pct"/>
            <w:vAlign w:val="center"/>
            <w:vMerge w:val="continue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Руководящий,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Инженерно-технический,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и специалисты,  в т.ч.: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строительных специальностей 3- 6 разрядов,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Электромонтажники-линейщики,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оборудования вторичных коммутаций, в т.ч. релейщики и т.п.,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Наладчики, инженеры-наладчики, чел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специальности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2. Основной персонал рабочих специальностей, привлекаемый для выполнения работ по договору, по видам выполняемых работ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63"/>
        <w:gridCol w:w="2409"/>
        <w:gridCol w:w="1608"/>
        <w:gridCol w:w="1102"/>
        <w:gridCol w:w="2156"/>
        <w:gridCol w:w="2451"/>
      </w:tblGrid>
      <w:tr>
        <w:tblPrEx/>
        <w:trPr>
          <w:trHeight w:val="551"/>
          <w:tblHeader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Персонал, (специальность, разряд)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1. Подготовительные работы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2. Основные объекты строительства.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В таблице 2 указываются сведения </w:t>
      </w:r>
      <w:r>
        <w:rPr>
          <w:b/>
          <w:sz w:val="20"/>
          <w:szCs w:val="20"/>
        </w:rPr>
        <w:t xml:space="preserve">только о персонале основных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</w:t>
      </w:r>
      <w:r>
        <w:rPr>
          <w:sz w:val="20"/>
          <w:szCs w:val="20"/>
        </w:rPr>
        <w:t xml:space="preserve">. При этом в зависимости от типа объекта и необходимости привлечения персонала определенной специальности, в </w:t>
      </w:r>
      <w:r>
        <w:rPr>
          <w:b/>
          <w:sz w:val="20"/>
          <w:szCs w:val="20"/>
        </w:rPr>
        <w:t xml:space="preserve">обязательном</w:t>
      </w:r>
      <w:r>
        <w:rPr>
          <w:sz w:val="20"/>
          <w:szCs w:val="20"/>
        </w:rPr>
        <w:t xml:space="preserve"> порядке указываются сведения о наличии следующего персонала: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Рабочие строительных специальностей 3- 6 разрядов;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Электромонтажники-линейщики;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основного электротехнического оборудования;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оборудования вторичных коммутаций;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Наладчики, инженеры-наладчики.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Кроме указанных, участник вправе указать персонал иных специальностей, которые, по его мнению, необходимы для выполнения ра</w:t>
      </w:r>
      <w:r>
        <w:rPr>
          <w:sz w:val="20"/>
          <w:szCs w:val="20"/>
        </w:rPr>
        <w:t xml:space="preserve">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объемов работ.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3. Сведения о персонале, привлекаемом для выполнения пуско-наладочных работ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40"/>
        <w:gridCol w:w="2007"/>
        <w:gridCol w:w="2445"/>
        <w:gridCol w:w="1597"/>
        <w:gridCol w:w="1767"/>
        <w:gridCol w:w="1933"/>
      </w:tblGrid>
      <w:tr>
        <w:tblPrEx/>
        <w:trPr>
          <w:trHeight w:val="551"/>
          <w:tblHeader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4. Сведения о персонале, привлекаемом для выполнения проектных работ (разработки проектной и рабочей документации)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40"/>
        <w:gridCol w:w="1999"/>
        <w:gridCol w:w="2460"/>
        <w:gridCol w:w="1597"/>
        <w:gridCol w:w="1768"/>
        <w:gridCol w:w="1925"/>
      </w:tblGrid>
      <w:tr>
        <w:tblPrEx/>
        <w:trPr>
          <w:trHeight w:val="551"/>
          <w:tblHeader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941"/>
        <w:gridCol w:w="1227"/>
        <w:gridCol w:w="4209"/>
      </w:tblGrid>
      <w:tr>
        <w:tblPrEx/>
        <w:trPr/>
        <w:tc>
          <w:tcPr>
            <w:tcBorders>
              <w:bottom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М. П.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</w:t>
      </w:r>
      <w:r>
        <w:rPr>
          <w:sz w:val="20"/>
          <w:szCs w:val="20"/>
        </w:rPr>
        <w:t xml:space="preserve">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  <w:szCs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 наличия в предмете закупки требуемых работ, заполняются таблицы 3, 4. При отсутствии данного вида работ в таблице приводятся слова «не требуется».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bCs/>
          <w:iCs/>
          <w:sz w:val="20"/>
          <w:szCs w:val="20"/>
        </w:rPr>
      </w:pPr>
      <w:r>
        <w:rPr>
          <w:bCs/>
          <w:iCs/>
          <w:color w:val="000000"/>
          <w:sz w:val="20"/>
          <w:szCs w:val="20"/>
        </w:rPr>
        <w:t xml:space="preserve">Данная форма требуется в составе документации о закупке только в случае проведения процедур на право заключения договора на строительство (реконструкцию) </w:t>
      </w:r>
      <w:r>
        <w:rPr>
          <w:sz w:val="20"/>
          <w:szCs w:val="20"/>
        </w:rPr>
        <w:t xml:space="preserve">объектов</w:t>
      </w:r>
      <w:r>
        <w:rPr>
          <w:bCs/>
          <w:iCs/>
          <w:color w:val="000000"/>
          <w:sz w:val="20"/>
          <w:szCs w:val="20"/>
        </w:rPr>
        <w:t xml:space="preserve">.</w:t>
      </w:r>
      <w:r>
        <w:rPr>
          <w:bCs/>
          <w:iCs/>
          <w:sz w:val="20"/>
          <w:szCs w:val="20"/>
        </w:rPr>
      </w:r>
      <w:r>
        <w:rPr>
          <w:bCs/>
          <w:iCs/>
          <w:sz w:val="20"/>
          <w:szCs w:val="20"/>
        </w:rPr>
      </w:r>
    </w:p>
    <w:p>
      <w:pPr>
        <w:pStyle w:val="1055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055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  <w:lang w:val="ru-RU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018"/>
        <w:gridCol w:w="2416"/>
        <w:gridCol w:w="2277"/>
        <w:gridCol w:w="1761"/>
        <w:gridCol w:w="1458"/>
        <w:gridCol w:w="1265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11.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59"/>
        <w:gridCol w:w="2364"/>
        <w:gridCol w:w="2233"/>
        <w:gridCol w:w="1734"/>
        <w:gridCol w:w="1447"/>
        <w:gridCol w:w="1258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55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055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lang w:val="ru-RU" w:eastAsia="ru-RU"/>
        </w:rPr>
      </w:pPr>
      <w:r>
        <w:rPr>
          <w:bCs/>
          <w:caps/>
          <w:sz w:val="24"/>
          <w:szCs w:val="24"/>
          <w:lang w:val="ru-RU" w:eastAsia="ru-RU"/>
        </w:rPr>
        <w:t xml:space="preserve">ФОРМА 12. независимая гарантия</w:t>
      </w:r>
      <w:r>
        <w:rPr>
          <w:bCs/>
          <w:caps/>
          <w:color w:val="000000"/>
          <w:sz w:val="24"/>
          <w:szCs w:val="24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lang w:val="ru-RU" w:eastAsia="ru-RU"/>
        </w:rPr>
      </w:r>
      <w:r>
        <w:rPr>
          <w:bCs/>
          <w:caps/>
          <w:color w:val="000000"/>
          <w:sz w:val="24"/>
          <w:szCs w:val="24"/>
          <w:lang w:val="ru-RU" w:eastAsia="ru-RU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248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г. ________</w:t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 _____________________ (</w:t>
      </w:r>
      <w:r>
        <w:rPr>
          <w:rStyle w:val="1248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248"/>
          <w:sz w:val="26"/>
          <w:szCs w:val="26"/>
          <w:highlight w:val="white"/>
        </w:rPr>
        <w:t xml:space="preserve"> </w:t>
      </w:r>
      <w:r>
        <w:rPr>
          <w:rStyle w:val="1248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248"/>
          <w:sz w:val="26"/>
          <w:szCs w:val="26"/>
          <w:highlight w:val="white"/>
        </w:rPr>
        <w:t xml:space="preserve"> </w:t>
      </w:r>
      <w:r>
        <w:rPr>
          <w:rStyle w:val="1248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248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248"/>
          <w:i/>
          <w:iCs/>
          <w:sz w:val="26"/>
          <w:szCs w:val="26"/>
          <w:highlight w:val="white"/>
        </w:rPr>
        <w:t xml:space="preserve">____ </w:t>
      </w:r>
      <w:r>
        <w:rPr>
          <w:rStyle w:val="1248"/>
          <w:sz w:val="26"/>
          <w:szCs w:val="26"/>
          <w:highlight w:val="white"/>
        </w:rPr>
        <w:t xml:space="preserve">года № </w:t>
      </w:r>
      <w:r>
        <w:rPr>
          <w:rStyle w:val="1248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248"/>
          <w:i/>
          <w:iCs/>
          <w:sz w:val="26"/>
          <w:szCs w:val="26"/>
          <w:highlight w:val="white"/>
          <w:vertAlign w:val="superscript"/>
        </w:rPr>
        <w:footnoteReference w:id="5"/>
      </w:r>
      <w:r>
        <w:rPr>
          <w:rStyle w:val="1248"/>
          <w:i/>
          <w:iCs/>
          <w:sz w:val="26"/>
          <w:szCs w:val="26"/>
          <w:highlight w:val="white"/>
        </w:rPr>
        <w:t xml:space="preserve"> ),</w:t>
      </w:r>
      <w:r>
        <w:rPr>
          <w:rStyle w:val="1248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248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248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48"/>
          <w:i/>
          <w:iCs/>
          <w:sz w:val="26"/>
          <w:szCs w:val="26"/>
          <w:highlight w:val="white"/>
        </w:rPr>
        <w:t xml:space="preserve">И.</w:t>
      </w:r>
      <w:r>
        <w:rPr>
          <w:rStyle w:val="1248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48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248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248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248"/>
          <w:sz w:val="26"/>
          <w:szCs w:val="26"/>
          <w:highlight w:val="white"/>
        </w:rPr>
        <w:t xml:space="preserve">)</w:t>
      </w:r>
      <w:r>
        <w:rPr>
          <w:rStyle w:val="1248"/>
          <w:i/>
          <w:iCs/>
          <w:sz w:val="26"/>
          <w:szCs w:val="26"/>
          <w:highlight w:val="white"/>
        </w:rPr>
        <w:t xml:space="preserve">, </w:t>
      </w:r>
      <w:r>
        <w:rPr>
          <w:rStyle w:val="1248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248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248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248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248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248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248"/>
          <w:sz w:val="26"/>
          <w:szCs w:val="26"/>
          <w:highlight w:val="white"/>
        </w:rPr>
        <w:t xml:space="preserve"> </w:t>
      </w:r>
      <w:r>
        <w:rPr>
          <w:rStyle w:val="1248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248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248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248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248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249"/>
          <w:highlight w:val="white"/>
        </w:rPr>
        <w:t xml:space="preserve"> «</w:t>
      </w:r>
      <w:r>
        <w:rPr>
          <w:rStyle w:val="1248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248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Ответственность Гаранта за неисполнение требования по настоящей независимой </w:t>
      </w:r>
      <w:r>
        <w:rPr>
          <w:rStyle w:val="1248"/>
          <w:sz w:val="26"/>
          <w:szCs w:val="26"/>
          <w:highlight w:val="white"/>
        </w:rPr>
        <w:t xml:space="preserve">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248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248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248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248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248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248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248"/>
          <w:i/>
          <w:iCs/>
          <w:sz w:val="26"/>
          <w:szCs w:val="26"/>
          <w:highlight w:val="white"/>
        </w:rPr>
        <w:t xml:space="preserve">(указывается арбитражный суд по месту нахождения бенефициара)</w:t>
      </w:r>
      <w:r>
        <w:rPr>
          <w:rStyle w:val="1248"/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highlight w:val="white"/>
        </w:rPr>
        <w:outlineLvl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6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96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bookmarkStart w:id="258" w:name="_GoBack"/>
      <w:r/>
      <w:bookmarkEnd w:id="258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6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ourier">
    <w:panose1 w:val="02060409020205020404"/>
  </w:font>
  <w:font w:name="MS Mincho">
    <w:panose1 w:val="02020503050405090304"/>
  </w:font>
  <w:font w:name="Tahoma">
    <w:panose1 w:val="020B0604030504040204"/>
  </w:font>
  <w:font w:name="TimesDL">
    <w:panose1 w:val="02020603050405020304"/>
  </w:font>
  <w:font w:name="Verdana">
    <w:panose1 w:val="020B060403050404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1062"/>
      </w:rPr>
      <w:framePr w:wrap="around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separate"/>
    </w:r>
    <w:r>
      <w:rPr>
        <w:rStyle w:val="1062"/>
      </w:rPr>
      <w:t xml:space="preserve">20</w: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90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1062"/>
      </w:rPr>
      <w:framePr w:wrap="around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90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1062"/>
      </w:rPr>
      <w:framePr w:wrap="auto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separate"/>
    </w:r>
    <w:r>
      <w:rPr>
        <w:rStyle w:val="1062"/>
      </w:rPr>
      <w:t xml:space="preserve">47</w: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906"/>
      <w:ind w:right="360"/>
      <w:jc w:val="center"/>
      <w:tabs>
        <w:tab w:val="right" w:pos="9840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41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039"/>
          <w:sz w:val="20"/>
          <w:szCs w:val="20"/>
        </w:rPr>
        <w:footnoteRef/>
      </w:r>
      <w:r>
        <w:rPr>
          <w:rStyle w:val="1039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039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1037"/>
      </w:pPr>
      <w:r>
        <w:rPr>
          <w:rStyle w:val="1248"/>
          <w:i/>
          <w:iCs/>
          <w:sz w:val="26"/>
          <w:szCs w:val="26"/>
          <w:vertAlign w:val="superscript"/>
        </w:rPr>
        <w:t xml:space="preserve">4</w:t>
      </w:r>
      <w:r>
        <w:rPr>
          <w:rStyle w:val="1249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10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thaiNumbers"/>
      <w:pStyle w:val="1244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112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08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1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119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2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pStyle w:val="1083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85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84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086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216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1">
    <w:multiLevelType w:val="hybridMultilevel"/>
    <w:lvl w:ilvl="0">
      <w:start w:val="1"/>
      <w:numFmt w:val="decimal"/>
      <w:pStyle w:val="10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05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059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060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num w:numId="1">
    <w:abstractNumId w:val="41"/>
  </w:num>
  <w:num w:numId="2">
    <w:abstractNumId w:val="20"/>
  </w:num>
  <w:num w:numId="3">
    <w:abstractNumId w:val="40"/>
  </w:num>
  <w:num w:numId="4">
    <w:abstractNumId w:val="29"/>
  </w:num>
  <w:num w:numId="5">
    <w:abstractNumId w:val="23"/>
  </w:num>
  <w:num w:numId="6">
    <w:abstractNumId w:val="36"/>
  </w:num>
  <w:num w:numId="7">
    <w:abstractNumId w:val="35"/>
  </w:num>
  <w:num w:numId="8">
    <w:abstractNumId w:val="3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"/>
  </w:num>
  <w:num w:numId="14">
    <w:abstractNumId w:val="13"/>
  </w:num>
  <w:num w:numId="15">
    <w:abstractNumId w:val="16"/>
  </w:num>
  <w:num w:numId="16">
    <w:abstractNumId w:val="10"/>
  </w:num>
  <w:num w:numId="17">
    <w:abstractNumId w:val="32"/>
  </w:num>
  <w:num w:numId="18">
    <w:abstractNumId w:val="4"/>
  </w:num>
  <w:num w:numId="19">
    <w:abstractNumId w:val="12"/>
  </w:num>
  <w:num w:numId="20">
    <w:abstractNumId w:val="9"/>
  </w:num>
  <w:num w:numId="21">
    <w:abstractNumId w:val="22"/>
  </w:num>
  <w:num w:numId="22">
    <w:abstractNumId w:val="15"/>
  </w:num>
  <w:num w:numId="23">
    <w:abstractNumId w:val="27"/>
  </w:num>
  <w:num w:numId="24">
    <w:abstractNumId w:val="21"/>
  </w:num>
  <w:num w:numId="25">
    <w:abstractNumId w:val="34"/>
  </w:num>
  <w:num w:numId="26">
    <w:abstractNumId w:val="30"/>
  </w:num>
  <w:num w:numId="27">
    <w:abstractNumId w:val="3"/>
  </w:num>
  <w:num w:numId="28">
    <w:abstractNumId w:val="33"/>
  </w:num>
  <w:num w:numId="29">
    <w:abstractNumId w:val="26"/>
  </w:num>
  <w:num w:numId="30">
    <w:abstractNumId w:val="24"/>
  </w:num>
  <w:num w:numId="31">
    <w:abstractNumId w:val="19"/>
  </w:num>
  <w:num w:numId="32">
    <w:abstractNumId w:val="8"/>
  </w:num>
  <w:num w:numId="33">
    <w:abstractNumId w:val="2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11"/>
  </w:num>
  <w:num w:numId="38">
    <w:abstractNumId w:val="38"/>
  </w:num>
  <w:num w:numId="39">
    <w:abstractNumId w:val="18"/>
  </w:num>
  <w:num w:numId="40">
    <w:abstractNumId w:val="25"/>
  </w:num>
  <w:num w:numId="41">
    <w:abstractNumId w:val="37"/>
  </w:num>
  <w:num w:numId="42">
    <w:abstractNumId w:val="39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8">
    <w:name w:val="Heading 1 Char"/>
    <w:basedOn w:val="882"/>
    <w:link w:val="873"/>
    <w:uiPriority w:val="9"/>
    <w:rPr>
      <w:rFonts w:ascii="Arial" w:hAnsi="Arial" w:eastAsia="Arial" w:cs="Arial"/>
      <w:sz w:val="40"/>
      <w:szCs w:val="40"/>
    </w:rPr>
  </w:style>
  <w:style w:type="character" w:styleId="869">
    <w:name w:val="Heading 2 Char"/>
    <w:basedOn w:val="882"/>
    <w:link w:val="874"/>
    <w:uiPriority w:val="9"/>
    <w:rPr>
      <w:rFonts w:ascii="Arial" w:hAnsi="Arial" w:eastAsia="Arial" w:cs="Arial"/>
      <w:sz w:val="34"/>
    </w:rPr>
  </w:style>
  <w:style w:type="character" w:styleId="870">
    <w:name w:val="Quote Char"/>
    <w:link w:val="900"/>
    <w:uiPriority w:val="29"/>
    <w:rPr>
      <w:i/>
    </w:rPr>
  </w:style>
  <w:style w:type="character" w:styleId="871">
    <w:name w:val="Intense Quote Char"/>
    <w:link w:val="902"/>
    <w:uiPriority w:val="30"/>
    <w:rPr>
      <w:i/>
    </w:rPr>
  </w:style>
  <w:style w:type="paragraph" w:styleId="872" w:default="1">
    <w:name w:val="Normal"/>
    <w:qFormat/>
    <w:rPr>
      <w:sz w:val="24"/>
      <w:szCs w:val="24"/>
      <w:lang w:eastAsia="ru-RU"/>
    </w:rPr>
  </w:style>
  <w:style w:type="paragraph" w:styleId="873">
    <w:name w:val="Heading 1"/>
    <w:basedOn w:val="872"/>
    <w:next w:val="872"/>
    <w:link w:val="8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74">
    <w:name w:val="Heading 2"/>
    <w:basedOn w:val="872"/>
    <w:next w:val="872"/>
    <w:link w:val="8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75">
    <w:name w:val="Heading 3"/>
    <w:basedOn w:val="872"/>
    <w:next w:val="872"/>
    <w:link w:val="1106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876">
    <w:name w:val="Heading 4"/>
    <w:basedOn w:val="872"/>
    <w:next w:val="872"/>
    <w:link w:val="1091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77">
    <w:name w:val="Heading 5"/>
    <w:basedOn w:val="872"/>
    <w:next w:val="872"/>
    <w:link w:val="1100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78">
    <w:name w:val="Heading 6"/>
    <w:basedOn w:val="872"/>
    <w:next w:val="872"/>
    <w:link w:val="1101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879">
    <w:name w:val="Heading 7"/>
    <w:basedOn w:val="872"/>
    <w:next w:val="872"/>
    <w:link w:val="1102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880">
    <w:name w:val="Heading 8"/>
    <w:basedOn w:val="872"/>
    <w:next w:val="872"/>
    <w:link w:val="1103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881">
    <w:name w:val="Heading 9"/>
    <w:basedOn w:val="872"/>
    <w:next w:val="872"/>
    <w:link w:val="1104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character" w:styleId="885" w:customStyle="1">
    <w:name w:val="Заголовок 1 Знак"/>
    <w:link w:val="873"/>
    <w:uiPriority w:val="9"/>
    <w:rPr>
      <w:rFonts w:ascii="Arial" w:hAnsi="Arial" w:eastAsia="Arial" w:cs="Arial"/>
      <w:sz w:val="40"/>
      <w:szCs w:val="40"/>
    </w:rPr>
  </w:style>
  <w:style w:type="character" w:styleId="886" w:customStyle="1">
    <w:name w:val="Заголовок 2 Знак"/>
    <w:link w:val="874"/>
    <w:uiPriority w:val="9"/>
    <w:rPr>
      <w:rFonts w:ascii="Arial" w:hAnsi="Arial" w:eastAsia="Arial" w:cs="Arial"/>
      <w:sz w:val="34"/>
    </w:rPr>
  </w:style>
  <w:style w:type="character" w:styleId="887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88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89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90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91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2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93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94">
    <w:name w:val="List Paragraph"/>
    <w:basedOn w:val="872"/>
    <w:uiPriority w:val="34"/>
    <w:qFormat/>
    <w:pPr>
      <w:contextualSpacing/>
      <w:ind w:left="720"/>
    </w:pPr>
  </w:style>
  <w:style w:type="paragraph" w:styleId="895">
    <w:name w:val="No Spacing"/>
    <w:uiPriority w:val="1"/>
    <w:qFormat/>
    <w:rPr>
      <w:sz w:val="24"/>
      <w:szCs w:val="24"/>
      <w:lang w:eastAsia="ru-RU"/>
    </w:rPr>
  </w:style>
  <w:style w:type="paragraph" w:styleId="896">
    <w:name w:val="Title"/>
    <w:basedOn w:val="872"/>
    <w:next w:val="872"/>
    <w:link w:val="1090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897" w:customStyle="1">
    <w:name w:val="Title Char"/>
    <w:uiPriority w:val="10"/>
    <w:rPr>
      <w:sz w:val="48"/>
      <w:szCs w:val="48"/>
    </w:rPr>
  </w:style>
  <w:style w:type="paragraph" w:styleId="898">
    <w:name w:val="Subtitle"/>
    <w:basedOn w:val="872"/>
    <w:link w:val="1125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99" w:customStyle="1">
    <w:name w:val="Subtitle Char"/>
    <w:uiPriority w:val="11"/>
    <w:rPr>
      <w:sz w:val="24"/>
      <w:szCs w:val="24"/>
    </w:rPr>
  </w:style>
  <w:style w:type="paragraph" w:styleId="900">
    <w:name w:val="Quote"/>
    <w:basedOn w:val="872"/>
    <w:next w:val="872"/>
    <w:link w:val="901"/>
    <w:uiPriority w:val="29"/>
    <w:qFormat/>
    <w:pPr>
      <w:ind w:left="720" w:right="720"/>
    </w:pPr>
    <w:rPr>
      <w:i/>
    </w:rPr>
  </w:style>
  <w:style w:type="character" w:styleId="901" w:customStyle="1">
    <w:name w:val="Цитата 2 Знак"/>
    <w:link w:val="900"/>
    <w:uiPriority w:val="29"/>
    <w:rPr>
      <w:i/>
    </w:rPr>
  </w:style>
  <w:style w:type="paragraph" w:styleId="902">
    <w:name w:val="Intense Quote"/>
    <w:basedOn w:val="872"/>
    <w:next w:val="872"/>
    <w:link w:val="9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3" w:customStyle="1">
    <w:name w:val="Выделенная цитата Знак"/>
    <w:link w:val="902"/>
    <w:uiPriority w:val="30"/>
    <w:rPr>
      <w:i/>
    </w:rPr>
  </w:style>
  <w:style w:type="paragraph" w:styleId="904">
    <w:name w:val="Header"/>
    <w:basedOn w:val="872"/>
    <w:link w:val="113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5" w:customStyle="1">
    <w:name w:val="Header Char"/>
    <w:uiPriority w:val="99"/>
  </w:style>
  <w:style w:type="paragraph" w:styleId="906">
    <w:name w:val="Footer"/>
    <w:basedOn w:val="872"/>
    <w:link w:val="114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7" w:customStyle="1">
    <w:name w:val="Footer Char"/>
    <w:uiPriority w:val="99"/>
  </w:style>
  <w:style w:type="paragraph" w:styleId="908">
    <w:name w:val="Caption"/>
    <w:basedOn w:val="872"/>
    <w:next w:val="872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909" w:customStyle="1">
    <w:name w:val="Caption Char"/>
    <w:uiPriority w:val="99"/>
  </w:style>
  <w:style w:type="table" w:styleId="910">
    <w:name w:val="Table Grid"/>
    <w:basedOn w:val="883"/>
    <w:uiPriority w:val="59"/>
    <w:tblPr/>
  </w:style>
  <w:style w:type="table" w:styleId="91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4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4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5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5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5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8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6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7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8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9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0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1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2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3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4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5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6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7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8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3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3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6">
    <w:name w:val="Hyperlink"/>
    <w:uiPriority w:val="99"/>
    <w:rPr>
      <w:color w:val="336699"/>
      <w:u w:val="none"/>
    </w:rPr>
  </w:style>
  <w:style w:type="paragraph" w:styleId="1037">
    <w:name w:val="footnote text"/>
    <w:basedOn w:val="872"/>
    <w:link w:val="1092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038" w:customStyle="1">
    <w:name w:val="Footnote Text Char"/>
    <w:uiPriority w:val="99"/>
    <w:rPr>
      <w:sz w:val="18"/>
    </w:rPr>
  </w:style>
  <w:style w:type="character" w:styleId="1039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1040">
    <w:name w:val="endnote text"/>
    <w:basedOn w:val="872"/>
    <w:link w:val="1221"/>
    <w:uiPriority w:val="99"/>
    <w:pPr>
      <w:jc w:val="both"/>
      <w:spacing w:after="60"/>
    </w:pPr>
    <w:rPr>
      <w:sz w:val="20"/>
      <w:szCs w:val="20"/>
    </w:rPr>
  </w:style>
  <w:style w:type="character" w:styleId="1041" w:customStyle="1">
    <w:name w:val="Endnote Text Char"/>
    <w:uiPriority w:val="99"/>
    <w:rPr>
      <w:sz w:val="20"/>
    </w:rPr>
  </w:style>
  <w:style w:type="character" w:styleId="1042">
    <w:name w:val="endnote reference"/>
    <w:uiPriority w:val="99"/>
    <w:rPr>
      <w:vertAlign w:val="superscript"/>
    </w:rPr>
  </w:style>
  <w:style w:type="paragraph" w:styleId="1043">
    <w:name w:val="toc 1"/>
    <w:basedOn w:val="872"/>
    <w:next w:val="87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44">
    <w:name w:val="toc 2"/>
    <w:basedOn w:val="872"/>
    <w:next w:val="872"/>
    <w:uiPriority w:val="39"/>
    <w:pPr>
      <w:ind w:left="240"/>
    </w:pPr>
    <w:rPr>
      <w:smallCaps/>
      <w:sz w:val="20"/>
      <w:szCs w:val="20"/>
    </w:rPr>
  </w:style>
  <w:style w:type="paragraph" w:styleId="1045">
    <w:name w:val="toc 3"/>
    <w:basedOn w:val="872"/>
    <w:next w:val="872"/>
    <w:uiPriority w:val="39"/>
    <w:pPr>
      <w:ind w:left="480"/>
    </w:pPr>
    <w:rPr>
      <w:i/>
      <w:iCs/>
      <w:sz w:val="20"/>
      <w:szCs w:val="20"/>
    </w:rPr>
  </w:style>
  <w:style w:type="paragraph" w:styleId="1046">
    <w:name w:val="toc 4"/>
    <w:basedOn w:val="872"/>
    <w:next w:val="872"/>
    <w:uiPriority w:val="39"/>
    <w:pPr>
      <w:ind w:left="720"/>
    </w:pPr>
    <w:rPr>
      <w:sz w:val="18"/>
      <w:szCs w:val="18"/>
    </w:rPr>
  </w:style>
  <w:style w:type="paragraph" w:styleId="1047">
    <w:name w:val="toc 5"/>
    <w:basedOn w:val="872"/>
    <w:next w:val="872"/>
    <w:uiPriority w:val="39"/>
    <w:pPr>
      <w:ind w:left="960"/>
    </w:pPr>
    <w:rPr>
      <w:sz w:val="18"/>
      <w:szCs w:val="18"/>
    </w:rPr>
  </w:style>
  <w:style w:type="paragraph" w:styleId="1048">
    <w:name w:val="toc 6"/>
    <w:basedOn w:val="872"/>
    <w:next w:val="872"/>
    <w:uiPriority w:val="39"/>
    <w:pPr>
      <w:ind w:left="1200"/>
    </w:pPr>
    <w:rPr>
      <w:sz w:val="18"/>
      <w:szCs w:val="18"/>
    </w:rPr>
  </w:style>
  <w:style w:type="paragraph" w:styleId="1049">
    <w:name w:val="toc 7"/>
    <w:basedOn w:val="872"/>
    <w:next w:val="872"/>
    <w:uiPriority w:val="39"/>
    <w:pPr>
      <w:ind w:left="1440"/>
    </w:pPr>
    <w:rPr>
      <w:sz w:val="18"/>
      <w:szCs w:val="18"/>
    </w:rPr>
  </w:style>
  <w:style w:type="paragraph" w:styleId="1050">
    <w:name w:val="toc 8"/>
    <w:basedOn w:val="872"/>
    <w:next w:val="872"/>
    <w:uiPriority w:val="39"/>
    <w:pPr>
      <w:ind w:left="1680"/>
    </w:pPr>
    <w:rPr>
      <w:sz w:val="18"/>
      <w:szCs w:val="18"/>
    </w:rPr>
  </w:style>
  <w:style w:type="paragraph" w:styleId="1051">
    <w:name w:val="toc 9"/>
    <w:basedOn w:val="872"/>
    <w:next w:val="872"/>
    <w:uiPriority w:val="39"/>
    <w:pPr>
      <w:ind w:left="1920"/>
    </w:pPr>
    <w:rPr>
      <w:sz w:val="18"/>
      <w:szCs w:val="18"/>
    </w:rPr>
  </w:style>
  <w:style w:type="paragraph" w:styleId="1052">
    <w:name w:val="TOC Heading"/>
    <w:uiPriority w:val="39"/>
    <w:unhideWhenUsed/>
  </w:style>
  <w:style w:type="paragraph" w:styleId="1053">
    <w:name w:val="table of figures"/>
    <w:basedOn w:val="872"/>
    <w:next w:val="872"/>
    <w:uiPriority w:val="99"/>
    <w:unhideWhenUsed/>
  </w:style>
  <w:style w:type="paragraph" w:styleId="1054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872"/>
    <w:next w:val="872"/>
    <w:link w:val="110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055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872"/>
    <w:next w:val="872"/>
    <w:link w:val="1098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056" w:customStyle="1">
    <w:name w:val="Основной шрифт абзаца;Знак2"/>
    <w:link w:val="1081"/>
    <w:semiHidden/>
  </w:style>
  <w:style w:type="character" w:styleId="1057">
    <w:name w:val="FollowedHyperlink"/>
    <w:uiPriority w:val="99"/>
    <w:rPr>
      <w:color w:val="800080"/>
      <w:u w:val="single"/>
    </w:rPr>
  </w:style>
  <w:style w:type="paragraph" w:styleId="1058" w:customStyle="1">
    <w:name w:val="Пункт"/>
    <w:basedOn w:val="872"/>
    <w:link w:val="1232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059" w:customStyle="1">
    <w:name w:val="Подпункт"/>
    <w:basedOn w:val="1058"/>
    <w:pPr>
      <w:numPr>
        <w:ilvl w:val="3"/>
      </w:numPr>
    </w:pPr>
  </w:style>
  <w:style w:type="paragraph" w:styleId="1060" w:customStyle="1">
    <w:name w:val="Подподпункт"/>
    <w:basedOn w:val="1059"/>
    <w:pPr>
      <w:numPr>
        <w:ilvl w:val="4"/>
      </w:numPr>
    </w:pPr>
  </w:style>
  <w:style w:type="character" w:styleId="1061" w:customStyle="1">
    <w:name w:val="Основной текст Знак"/>
    <w:link w:val="1131"/>
    <w:uiPriority w:val="99"/>
    <w:rPr>
      <w:sz w:val="28"/>
      <w:szCs w:val="28"/>
      <w:lang w:val="ru-RU" w:eastAsia="ru-RU"/>
    </w:rPr>
  </w:style>
  <w:style w:type="character" w:styleId="1062">
    <w:name w:val="page number"/>
    <w:basedOn w:val="1056"/>
    <w:uiPriority w:val="99"/>
  </w:style>
  <w:style w:type="paragraph" w:styleId="1063" w:customStyle="1">
    <w:name w:val="3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4" w:customStyle="1">
    <w:name w:val="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5" w:customStyle="1">
    <w:name w:val="Знак1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6" w:customStyle="1">
    <w:name w:val="Знак Знак Знак Знак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7" w:customStyle="1">
    <w:name w:val="Знак Знак Знак1 Знак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Знак Знак Знак Знак Знак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9">
    <w:name w:val="List Number"/>
    <w:basedOn w:val="872"/>
    <w:uiPriority w:val="99"/>
    <w:pPr>
      <w:jc w:val="both"/>
      <w:spacing w:before="60" w:line="360" w:lineRule="auto"/>
    </w:pPr>
    <w:rPr>
      <w:sz w:val="28"/>
    </w:rPr>
  </w:style>
  <w:style w:type="paragraph" w:styleId="1070" w:customStyle="1">
    <w:name w:val="Стиль1 Знак"/>
    <w:basedOn w:val="1059"/>
    <w:link w:val="1071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071" w:customStyle="1">
    <w:name w:val="Стиль1 Знак Знак"/>
    <w:link w:val="1070"/>
    <w:rPr>
      <w:sz w:val="28"/>
      <w:szCs w:val="28"/>
      <w:lang w:val="ru-RU" w:eastAsia="ru-RU" w:bidi="ar-SA"/>
    </w:rPr>
  </w:style>
  <w:style w:type="paragraph" w:styleId="1072" w:customStyle="1">
    <w:name w:val="Стиль1"/>
    <w:basedOn w:val="1059"/>
    <w:pPr>
      <w:numPr>
        <w:ilvl w:val="0"/>
        <w:numId w:val="0"/>
      </w:numPr>
      <w:spacing w:line="240" w:lineRule="auto"/>
    </w:pPr>
    <w:rPr>
      <w:szCs w:val="28"/>
    </w:rPr>
  </w:style>
  <w:style w:type="character" w:styleId="1073" w:customStyle="1">
    <w:name w:val="заменить"/>
    <w:rPr>
      <w:i/>
      <w:u w:val="none"/>
      <w:shd w:val="clear" w:color="auto" w:fill="ffcc99"/>
    </w:rPr>
  </w:style>
  <w:style w:type="paragraph" w:styleId="1074" w:customStyle="1">
    <w:name w:val="Служебный"/>
    <w:basedOn w:val="872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75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1076">
    <w:name w:val="Document Map"/>
    <w:basedOn w:val="872"/>
    <w:link w:val="1213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077">
    <w:name w:val="Normal (Web)"/>
    <w:basedOn w:val="872"/>
    <w:uiPriority w:val="99"/>
    <w:pPr>
      <w:spacing w:before="100" w:beforeAutospacing="1" w:after="100" w:afterAutospacing="1"/>
    </w:pPr>
  </w:style>
  <w:style w:type="character" w:styleId="1078">
    <w:name w:val="Emphasis"/>
    <w:uiPriority w:val="99"/>
    <w:qFormat/>
    <w:rPr>
      <w:i/>
      <w:iCs/>
    </w:rPr>
  </w:style>
  <w:style w:type="paragraph" w:styleId="1079">
    <w:name w:val="Balloon Text"/>
    <w:basedOn w:val="872"/>
    <w:link w:val="1207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080" w:customStyle="1">
    <w:name w:val="1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1" w:customStyle="1">
    <w:name w:val="Знак"/>
    <w:basedOn w:val="872"/>
    <w:link w:val="105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2" w:customStyle="1">
    <w:name w:val="1"/>
    <w:basedOn w:val="87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3" w:customStyle="1">
    <w:name w:val="Заголовок_1"/>
    <w:basedOn w:val="872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84" w:customStyle="1">
    <w:name w:val="Пункт_3"/>
    <w:basedOn w:val="872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085" w:customStyle="1">
    <w:name w:val="Пункт_2"/>
    <w:basedOn w:val="872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086" w:customStyle="1">
    <w:name w:val="Пункт_5"/>
    <w:basedOn w:val="1084"/>
    <w:uiPriority w:val="99"/>
    <w:pPr>
      <w:numPr>
        <w:ilvl w:val="4"/>
      </w:numPr>
    </w:pPr>
  </w:style>
  <w:style w:type="paragraph" w:styleId="1087" w:customStyle="1">
    <w:name w:val="Default"/>
    <w:rPr>
      <w:color w:val="000000"/>
      <w:sz w:val="24"/>
      <w:szCs w:val="24"/>
      <w:lang w:eastAsia="ru-RU"/>
    </w:rPr>
  </w:style>
  <w:style w:type="character" w:styleId="1088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089"/>
    <w:uiPriority w:val="34"/>
    <w:qFormat/>
    <w:rPr>
      <w:sz w:val="24"/>
      <w:szCs w:val="24"/>
    </w:rPr>
  </w:style>
  <w:style w:type="paragraph" w:styleId="1089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872"/>
    <w:link w:val="1088"/>
    <w:uiPriority w:val="34"/>
    <w:qFormat/>
    <w:pPr>
      <w:ind w:left="720"/>
    </w:pPr>
    <w:rPr>
      <w:lang w:val="en-US" w:eastAsia="en-US"/>
    </w:rPr>
  </w:style>
  <w:style w:type="character" w:styleId="1090" w:customStyle="1">
    <w:name w:val="Заголовок Знак"/>
    <w:link w:val="896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91" w:customStyle="1">
    <w:name w:val="Заголовок 4 Знак"/>
    <w:link w:val="876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092" w:customStyle="1">
    <w:name w:val="Текст сноски Знак"/>
    <w:link w:val="1037"/>
    <w:uiPriority w:val="99"/>
    <w:rPr>
      <w:sz w:val="22"/>
    </w:rPr>
  </w:style>
  <w:style w:type="character" w:styleId="1093">
    <w:name w:val="annotation reference"/>
    <w:uiPriority w:val="99"/>
    <w:rPr>
      <w:sz w:val="16"/>
      <w:szCs w:val="16"/>
    </w:rPr>
  </w:style>
  <w:style w:type="paragraph" w:styleId="1094">
    <w:name w:val="annotation text"/>
    <w:basedOn w:val="872"/>
    <w:link w:val="1095"/>
    <w:uiPriority w:val="99"/>
    <w:rPr>
      <w:sz w:val="20"/>
      <w:szCs w:val="20"/>
    </w:rPr>
  </w:style>
  <w:style w:type="character" w:styleId="1095" w:customStyle="1">
    <w:name w:val="Текст примечания Знак"/>
    <w:basedOn w:val="1056"/>
    <w:link w:val="1094"/>
    <w:uiPriority w:val="99"/>
  </w:style>
  <w:style w:type="paragraph" w:styleId="1096">
    <w:name w:val="annotation subject"/>
    <w:basedOn w:val="1094"/>
    <w:next w:val="1094"/>
    <w:link w:val="1097"/>
    <w:uiPriority w:val="99"/>
    <w:rPr>
      <w:b/>
      <w:bCs/>
      <w:lang w:val="en-US" w:eastAsia="en-US"/>
    </w:rPr>
  </w:style>
  <w:style w:type="character" w:styleId="1097" w:customStyle="1">
    <w:name w:val="Тема примечания Знак"/>
    <w:link w:val="1096"/>
    <w:uiPriority w:val="99"/>
    <w:rPr>
      <w:b/>
      <w:bCs/>
    </w:rPr>
  </w:style>
  <w:style w:type="character" w:styleId="1098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055"/>
    <w:uiPriority w:val="99"/>
    <w:rPr>
      <w:b/>
      <w:sz w:val="32"/>
    </w:rPr>
  </w:style>
  <w:style w:type="paragraph" w:styleId="1099" w:customStyle="1">
    <w:name w:val="буквы"/>
    <w:basedOn w:val="872"/>
    <w:uiPriority w:val="99"/>
    <w:pPr>
      <w:numPr>
        <w:ilvl w:val="0"/>
        <w:numId w:val="12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00" w:customStyle="1">
    <w:name w:val="Заголовок 5 Знак"/>
    <w:link w:val="877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101" w:customStyle="1">
    <w:name w:val="Заголовок 6 Знак"/>
    <w:link w:val="878"/>
    <w:uiPriority w:val="99"/>
    <w:rPr>
      <w:i/>
      <w:iCs/>
    </w:rPr>
  </w:style>
  <w:style w:type="character" w:styleId="1102" w:customStyle="1">
    <w:name w:val="Заголовок 7 Знак"/>
    <w:link w:val="879"/>
    <w:uiPriority w:val="99"/>
    <w:rPr>
      <w:rFonts w:ascii="Arial" w:hAnsi="Arial" w:cs="Arial"/>
    </w:rPr>
  </w:style>
  <w:style w:type="character" w:styleId="1103" w:customStyle="1">
    <w:name w:val="Заголовок 8 Знак"/>
    <w:link w:val="880"/>
    <w:uiPriority w:val="99"/>
    <w:rPr>
      <w:rFonts w:ascii="Arial" w:hAnsi="Arial" w:cs="Arial"/>
      <w:i/>
      <w:iCs/>
    </w:rPr>
  </w:style>
  <w:style w:type="character" w:styleId="1104" w:customStyle="1">
    <w:name w:val="Заголовок 9 Знак"/>
    <w:link w:val="881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105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054"/>
    <w:rPr>
      <w:rFonts w:ascii="Arial" w:hAnsi="Arial"/>
      <w:b/>
      <w:sz w:val="40"/>
      <w:lang w:val="en-US" w:eastAsia="en-US"/>
    </w:rPr>
  </w:style>
  <w:style w:type="character" w:styleId="1106" w:customStyle="1">
    <w:name w:val="Заголовок 3 Знак"/>
    <w:link w:val="875"/>
    <w:uiPriority w:val="99"/>
    <w:rPr>
      <w:rFonts w:ascii="Arial" w:hAnsi="Arial" w:cs="Arial"/>
      <w:b/>
      <w:bCs/>
      <w:sz w:val="26"/>
      <w:szCs w:val="26"/>
    </w:rPr>
  </w:style>
  <w:style w:type="paragraph" w:styleId="1107" w:customStyle="1">
    <w:name w:val="Основной текст с отступом1"/>
    <w:basedOn w:val="872"/>
    <w:uiPriority w:val="99"/>
    <w:pPr>
      <w:ind w:firstLine="851"/>
      <w:jc w:val="both"/>
      <w:spacing w:before="60"/>
    </w:pPr>
  </w:style>
  <w:style w:type="paragraph" w:styleId="1108">
    <w:name w:val="Body Text Indent"/>
    <w:basedOn w:val="872"/>
    <w:link w:val="1109"/>
    <w:uiPriority w:val="99"/>
    <w:pPr>
      <w:numPr>
        <w:ilvl w:val="1"/>
        <w:numId w:val="16"/>
      </w:numPr>
      <w:jc w:val="both"/>
      <w:spacing w:after="60"/>
    </w:pPr>
    <w:rPr>
      <w:lang w:val="en-US" w:eastAsia="en-US"/>
    </w:rPr>
  </w:style>
  <w:style w:type="character" w:styleId="1109" w:customStyle="1">
    <w:name w:val="Основной текст с отступом Знак"/>
    <w:link w:val="1108"/>
    <w:uiPriority w:val="99"/>
    <w:rPr>
      <w:sz w:val="24"/>
      <w:szCs w:val="24"/>
      <w:lang w:val="en-US" w:eastAsia="en-US"/>
    </w:rPr>
  </w:style>
  <w:style w:type="paragraph" w:styleId="1110">
    <w:name w:val="List Bullet"/>
    <w:basedOn w:val="872"/>
    <w:uiPriority w:val="99"/>
    <w:pPr>
      <w:jc w:val="both"/>
      <w:spacing w:after="60"/>
      <w:widowControl w:val="off"/>
    </w:pPr>
  </w:style>
  <w:style w:type="paragraph" w:styleId="1111">
    <w:name w:val="List Bullet 2"/>
    <w:basedOn w:val="872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12">
    <w:name w:val="List Bullet 3"/>
    <w:basedOn w:val="872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13">
    <w:name w:val="List Bullet 4"/>
    <w:basedOn w:val="872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14">
    <w:name w:val="List Bullet 5"/>
    <w:basedOn w:val="872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15">
    <w:name w:val="List Number 2"/>
    <w:basedOn w:val="872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16">
    <w:name w:val="List Number 3"/>
    <w:basedOn w:val="872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17">
    <w:name w:val="List Number 4"/>
    <w:basedOn w:val="872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18">
    <w:name w:val="List Number 5"/>
    <w:basedOn w:val="872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19" w:customStyle="1">
    <w:name w:val="Раздел"/>
    <w:basedOn w:val="872"/>
    <w:uiPriority w:val="99"/>
    <w:semiHidden/>
    <w:pPr>
      <w:numPr>
        <w:ilvl w:val="1"/>
        <w:numId w:val="14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20" w:customStyle="1">
    <w:name w:val="Часть"/>
    <w:basedOn w:val="872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121" w:customStyle="1">
    <w:name w:val="Раздел 3"/>
    <w:basedOn w:val="872"/>
    <w:uiPriority w:val="99"/>
    <w:semiHidden/>
    <w:pPr>
      <w:numPr>
        <w:ilvl w:val="0"/>
        <w:numId w:val="15"/>
      </w:numPr>
      <w:jc w:val="center"/>
      <w:spacing w:before="120" w:after="120"/>
    </w:pPr>
    <w:rPr>
      <w:b/>
      <w:bCs/>
    </w:rPr>
  </w:style>
  <w:style w:type="paragraph" w:styleId="1122" w:customStyle="1">
    <w:name w:val="Условия контракта"/>
    <w:basedOn w:val="872"/>
    <w:uiPriority w:val="99"/>
    <w:semiHidden/>
    <w:pPr>
      <w:numPr>
        <w:ilvl w:val="0"/>
        <w:numId w:val="16"/>
      </w:numPr>
      <w:jc w:val="both"/>
      <w:spacing w:before="240" w:after="120"/>
    </w:pPr>
    <w:rPr>
      <w:b/>
      <w:bCs/>
    </w:rPr>
  </w:style>
  <w:style w:type="paragraph" w:styleId="1123" w:customStyle="1">
    <w:name w:val="Instruction"/>
    <w:basedOn w:val="1108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124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125" w:customStyle="1">
    <w:name w:val="Подзаголовок Знак"/>
    <w:link w:val="898"/>
    <w:uiPriority w:val="99"/>
    <w:rPr>
      <w:rFonts w:ascii="Cambria" w:hAnsi="Cambria" w:cs="Cambria"/>
      <w:sz w:val="24"/>
      <w:szCs w:val="24"/>
    </w:rPr>
  </w:style>
  <w:style w:type="paragraph" w:styleId="1126" w:customStyle="1">
    <w:name w:val="Тендерные данные"/>
    <w:basedOn w:val="872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127">
    <w:name w:val="Date"/>
    <w:basedOn w:val="872"/>
    <w:next w:val="872"/>
    <w:link w:val="1128"/>
    <w:uiPriority w:val="99"/>
    <w:pPr>
      <w:jc w:val="both"/>
      <w:spacing w:after="60"/>
    </w:pPr>
    <w:rPr>
      <w:lang w:val="en-US" w:eastAsia="en-US"/>
    </w:rPr>
  </w:style>
  <w:style w:type="character" w:styleId="1128" w:customStyle="1">
    <w:name w:val="Дата Знак"/>
    <w:link w:val="1127"/>
    <w:uiPriority w:val="99"/>
    <w:rPr>
      <w:sz w:val="24"/>
      <w:szCs w:val="24"/>
    </w:rPr>
  </w:style>
  <w:style w:type="paragraph" w:styleId="1129" w:customStyle="1">
    <w:name w:val="Îáû÷íûé"/>
    <w:uiPriority w:val="99"/>
    <w:semiHidden/>
    <w:rPr>
      <w:lang w:eastAsia="ru-RU"/>
    </w:rPr>
  </w:style>
  <w:style w:type="paragraph" w:styleId="1130" w:customStyle="1">
    <w:name w:val="Íîðìàëüíûé"/>
    <w:uiPriority w:val="99"/>
    <w:semiHidden/>
    <w:rPr>
      <w:rFonts w:ascii="Courier" w:hAnsi="Courier" w:cs="Courier"/>
      <w:sz w:val="24"/>
      <w:szCs w:val="24"/>
      <w:lang w:val="en-GB" w:eastAsia="ru-RU"/>
    </w:rPr>
  </w:style>
  <w:style w:type="paragraph" w:styleId="1131">
    <w:name w:val="Body Text"/>
    <w:basedOn w:val="872"/>
    <w:link w:val="1061"/>
    <w:uiPriority w:val="99"/>
    <w:pPr>
      <w:jc w:val="both"/>
      <w:spacing w:after="120"/>
    </w:pPr>
    <w:rPr>
      <w:sz w:val="28"/>
      <w:szCs w:val="28"/>
    </w:rPr>
  </w:style>
  <w:style w:type="character" w:styleId="1132" w:customStyle="1">
    <w:name w:val="Основной текст Знак1"/>
    <w:rPr>
      <w:sz w:val="24"/>
      <w:szCs w:val="24"/>
    </w:rPr>
  </w:style>
  <w:style w:type="paragraph" w:styleId="1133" w:customStyle="1">
    <w:name w:val="Подраздел"/>
    <w:basedOn w:val="872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34">
    <w:name w:val="Body Text Indent 2"/>
    <w:basedOn w:val="872"/>
    <w:link w:val="1135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135" w:customStyle="1">
    <w:name w:val="Основной текст с отступом 2 Знак"/>
    <w:link w:val="1134"/>
    <w:uiPriority w:val="99"/>
    <w:rPr>
      <w:sz w:val="24"/>
      <w:szCs w:val="24"/>
    </w:rPr>
  </w:style>
  <w:style w:type="paragraph" w:styleId="1136">
    <w:name w:val="Body Text Indent 3"/>
    <w:basedOn w:val="872"/>
    <w:link w:val="1137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137" w:customStyle="1">
    <w:name w:val="Основной текст с отступом 3 Знак"/>
    <w:link w:val="1136"/>
    <w:uiPriority w:val="99"/>
    <w:rPr>
      <w:sz w:val="16"/>
      <w:szCs w:val="16"/>
    </w:rPr>
  </w:style>
  <w:style w:type="character" w:styleId="1138" w:customStyle="1">
    <w:name w:val="Верхний колонтитул Знак"/>
    <w:link w:val="904"/>
    <w:uiPriority w:val="99"/>
    <w:rPr>
      <w:sz w:val="24"/>
      <w:szCs w:val="24"/>
    </w:rPr>
  </w:style>
  <w:style w:type="paragraph" w:styleId="1139">
    <w:name w:val="Block Text"/>
    <w:basedOn w:val="872"/>
    <w:uiPriority w:val="99"/>
    <w:pPr>
      <w:ind w:left="1440" w:right="1440"/>
      <w:jc w:val="both"/>
      <w:spacing w:after="120"/>
    </w:pPr>
  </w:style>
  <w:style w:type="character" w:styleId="1140" w:customStyle="1">
    <w:name w:val="Нижний колонтитул Знак"/>
    <w:link w:val="906"/>
    <w:uiPriority w:val="99"/>
    <w:rPr>
      <w:sz w:val="24"/>
      <w:szCs w:val="24"/>
    </w:rPr>
  </w:style>
  <w:style w:type="paragraph" w:styleId="1141">
    <w:name w:val="Body Text 3"/>
    <w:basedOn w:val="872"/>
    <w:link w:val="1142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142" w:customStyle="1">
    <w:name w:val="Основной текст 3 Знак"/>
    <w:link w:val="1141"/>
    <w:uiPriority w:val="99"/>
    <w:rPr>
      <w:sz w:val="16"/>
      <w:szCs w:val="16"/>
    </w:rPr>
  </w:style>
  <w:style w:type="paragraph" w:styleId="1143">
    <w:name w:val="Plain Text"/>
    <w:basedOn w:val="872"/>
    <w:link w:val="1144"/>
    <w:rPr>
      <w:rFonts w:ascii="Courier New" w:hAnsi="Courier New"/>
      <w:sz w:val="20"/>
      <w:szCs w:val="20"/>
      <w:lang w:val="en-US" w:eastAsia="en-US"/>
    </w:rPr>
  </w:style>
  <w:style w:type="character" w:styleId="1144" w:customStyle="1">
    <w:name w:val="Текст Знак"/>
    <w:link w:val="1143"/>
    <w:rPr>
      <w:rFonts w:ascii="Courier New" w:hAnsi="Courier New" w:cs="Courier New"/>
    </w:rPr>
  </w:style>
  <w:style w:type="paragraph" w:styleId="1145" w:customStyle="1">
    <w:name w:val="ConsNormal"/>
    <w:pPr>
      <w:ind w:right="19772" w:firstLine="720"/>
      <w:widowControl w:val="off"/>
    </w:pPr>
    <w:rPr>
      <w:rFonts w:ascii="Arial" w:hAnsi="Arial" w:cs="Arial"/>
      <w:lang w:eastAsia="ru-RU"/>
    </w:rPr>
  </w:style>
  <w:style w:type="character" w:styleId="1146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47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  <w:lang w:eastAsia="ru-RU"/>
    </w:rPr>
  </w:style>
  <w:style w:type="character" w:styleId="1148" w:customStyle="1">
    <w:name w:val="Основной шрифт"/>
    <w:uiPriority w:val="99"/>
    <w:semiHidden/>
  </w:style>
  <w:style w:type="paragraph" w:styleId="1149">
    <w:name w:val="HTML Address"/>
    <w:basedOn w:val="872"/>
    <w:link w:val="1150"/>
    <w:uiPriority w:val="99"/>
    <w:pPr>
      <w:jc w:val="both"/>
      <w:spacing w:after="60"/>
    </w:pPr>
    <w:rPr>
      <w:i/>
      <w:iCs/>
      <w:lang w:val="en-US" w:eastAsia="en-US"/>
    </w:rPr>
  </w:style>
  <w:style w:type="character" w:styleId="1150" w:customStyle="1">
    <w:name w:val="Адрес HTML Знак"/>
    <w:link w:val="1149"/>
    <w:uiPriority w:val="99"/>
    <w:rPr>
      <w:i/>
      <w:iCs/>
      <w:sz w:val="24"/>
      <w:szCs w:val="24"/>
    </w:rPr>
  </w:style>
  <w:style w:type="paragraph" w:styleId="1151">
    <w:name w:val="envelope address"/>
    <w:basedOn w:val="872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52">
    <w:name w:val="HTML Acronym"/>
    <w:uiPriority w:val="99"/>
  </w:style>
  <w:style w:type="paragraph" w:styleId="1153">
    <w:name w:val="Note Heading"/>
    <w:basedOn w:val="872"/>
    <w:next w:val="872"/>
    <w:link w:val="1154"/>
    <w:uiPriority w:val="99"/>
    <w:pPr>
      <w:jc w:val="both"/>
      <w:spacing w:after="60"/>
    </w:pPr>
    <w:rPr>
      <w:lang w:val="en-US" w:eastAsia="en-US"/>
    </w:rPr>
  </w:style>
  <w:style w:type="character" w:styleId="1154" w:customStyle="1">
    <w:name w:val="Заголовок записки Знак"/>
    <w:link w:val="1153"/>
    <w:uiPriority w:val="99"/>
    <w:rPr>
      <w:sz w:val="24"/>
      <w:szCs w:val="24"/>
    </w:rPr>
  </w:style>
  <w:style w:type="character" w:styleId="115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5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57">
    <w:name w:val="Body Text First Indent"/>
    <w:basedOn w:val="1131"/>
    <w:link w:val="1158"/>
    <w:uiPriority w:val="99"/>
    <w:pPr>
      <w:ind w:firstLine="210"/>
    </w:pPr>
    <w:rPr>
      <w:lang w:val="en-US" w:eastAsia="en-US"/>
    </w:rPr>
  </w:style>
  <w:style w:type="character" w:styleId="1158" w:customStyle="1">
    <w:name w:val="Красная строка Знак"/>
    <w:link w:val="1157"/>
    <w:uiPriority w:val="99"/>
    <w:rPr>
      <w:sz w:val="28"/>
      <w:szCs w:val="28"/>
    </w:rPr>
  </w:style>
  <w:style w:type="paragraph" w:styleId="1159">
    <w:name w:val="Body Text First Indent 2"/>
    <w:basedOn w:val="1107"/>
    <w:link w:val="1160"/>
    <w:uiPriority w:val="99"/>
    <w:pPr>
      <w:ind w:left="283" w:firstLine="210"/>
      <w:spacing w:before="0" w:after="120"/>
    </w:pPr>
  </w:style>
  <w:style w:type="character" w:styleId="1160" w:customStyle="1">
    <w:name w:val="Красная строка 2 Знак"/>
    <w:basedOn w:val="1109"/>
    <w:link w:val="1159"/>
    <w:uiPriority w:val="99"/>
    <w:rPr>
      <w:sz w:val="24"/>
      <w:szCs w:val="24"/>
      <w:lang w:val="en-US" w:eastAsia="en-US"/>
    </w:rPr>
  </w:style>
  <w:style w:type="character" w:styleId="1161">
    <w:name w:val="line number"/>
    <w:uiPriority w:val="99"/>
  </w:style>
  <w:style w:type="character" w:styleId="1162">
    <w:name w:val="HTML Sample"/>
    <w:uiPriority w:val="99"/>
    <w:rPr>
      <w:rFonts w:ascii="Courier New" w:hAnsi="Courier New" w:cs="Courier New"/>
    </w:rPr>
  </w:style>
  <w:style w:type="paragraph" w:styleId="1163">
    <w:name w:val="envelope return"/>
    <w:basedOn w:val="872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164">
    <w:name w:val="Normal Indent"/>
    <w:basedOn w:val="872"/>
    <w:uiPriority w:val="99"/>
    <w:pPr>
      <w:ind w:left="708"/>
      <w:jc w:val="both"/>
      <w:spacing w:after="60"/>
    </w:pPr>
  </w:style>
  <w:style w:type="character" w:styleId="1165">
    <w:name w:val="HTML Definition"/>
    <w:uiPriority w:val="99"/>
    <w:rPr>
      <w:i/>
      <w:iCs/>
    </w:rPr>
  </w:style>
  <w:style w:type="character" w:styleId="1166">
    <w:name w:val="HTML Variable"/>
    <w:uiPriority w:val="99"/>
    <w:rPr>
      <w:i/>
      <w:iCs/>
    </w:rPr>
  </w:style>
  <w:style w:type="character" w:styleId="116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68">
    <w:name w:val="Signature"/>
    <w:basedOn w:val="872"/>
    <w:link w:val="1169"/>
    <w:uiPriority w:val="99"/>
    <w:pPr>
      <w:ind w:left="4252"/>
      <w:jc w:val="both"/>
      <w:spacing w:after="60"/>
    </w:pPr>
    <w:rPr>
      <w:lang w:val="en-US" w:eastAsia="en-US"/>
    </w:rPr>
  </w:style>
  <w:style w:type="character" w:styleId="1169" w:customStyle="1">
    <w:name w:val="Подпись Знак"/>
    <w:link w:val="1168"/>
    <w:uiPriority w:val="99"/>
    <w:rPr>
      <w:sz w:val="24"/>
      <w:szCs w:val="24"/>
    </w:rPr>
  </w:style>
  <w:style w:type="paragraph" w:styleId="1170">
    <w:name w:val="Salutation"/>
    <w:basedOn w:val="872"/>
    <w:next w:val="872"/>
    <w:link w:val="1171"/>
    <w:uiPriority w:val="99"/>
    <w:pPr>
      <w:jc w:val="both"/>
      <w:spacing w:after="60"/>
    </w:pPr>
    <w:rPr>
      <w:lang w:val="en-US" w:eastAsia="en-US"/>
    </w:rPr>
  </w:style>
  <w:style w:type="character" w:styleId="1171" w:customStyle="1">
    <w:name w:val="Приветствие Знак"/>
    <w:link w:val="1170"/>
    <w:uiPriority w:val="99"/>
    <w:rPr>
      <w:sz w:val="24"/>
      <w:szCs w:val="24"/>
    </w:rPr>
  </w:style>
  <w:style w:type="paragraph" w:styleId="1172">
    <w:name w:val="List Continue"/>
    <w:basedOn w:val="872"/>
    <w:uiPriority w:val="99"/>
    <w:pPr>
      <w:ind w:left="283"/>
      <w:jc w:val="both"/>
      <w:spacing w:after="120"/>
    </w:pPr>
  </w:style>
  <w:style w:type="paragraph" w:styleId="1173">
    <w:name w:val="List Continue 2"/>
    <w:basedOn w:val="872"/>
    <w:uiPriority w:val="99"/>
    <w:pPr>
      <w:ind w:left="566"/>
      <w:jc w:val="both"/>
      <w:spacing w:after="120"/>
    </w:pPr>
  </w:style>
  <w:style w:type="paragraph" w:styleId="1174">
    <w:name w:val="List Continue 3"/>
    <w:basedOn w:val="872"/>
    <w:uiPriority w:val="99"/>
    <w:pPr>
      <w:ind w:left="849"/>
      <w:jc w:val="both"/>
      <w:spacing w:after="120"/>
    </w:pPr>
  </w:style>
  <w:style w:type="paragraph" w:styleId="1175">
    <w:name w:val="List Continue 4"/>
    <w:basedOn w:val="872"/>
    <w:uiPriority w:val="99"/>
    <w:pPr>
      <w:ind w:left="1132"/>
      <w:jc w:val="both"/>
      <w:spacing w:after="120"/>
    </w:pPr>
  </w:style>
  <w:style w:type="paragraph" w:styleId="1176">
    <w:name w:val="List Continue 5"/>
    <w:basedOn w:val="872"/>
    <w:uiPriority w:val="99"/>
    <w:pPr>
      <w:ind w:left="1415"/>
      <w:jc w:val="both"/>
      <w:spacing w:after="120"/>
    </w:pPr>
  </w:style>
  <w:style w:type="paragraph" w:styleId="1177">
    <w:name w:val="Closing"/>
    <w:basedOn w:val="872"/>
    <w:link w:val="1178"/>
    <w:uiPriority w:val="99"/>
    <w:pPr>
      <w:ind w:left="4252"/>
      <w:jc w:val="both"/>
      <w:spacing w:after="60"/>
    </w:pPr>
    <w:rPr>
      <w:lang w:val="en-US" w:eastAsia="en-US"/>
    </w:rPr>
  </w:style>
  <w:style w:type="character" w:styleId="1178" w:customStyle="1">
    <w:name w:val="Прощание Знак"/>
    <w:link w:val="1177"/>
    <w:uiPriority w:val="99"/>
    <w:rPr>
      <w:sz w:val="24"/>
      <w:szCs w:val="24"/>
    </w:rPr>
  </w:style>
  <w:style w:type="paragraph" w:styleId="1179">
    <w:name w:val="List"/>
    <w:basedOn w:val="872"/>
    <w:uiPriority w:val="99"/>
    <w:pPr>
      <w:ind w:left="283" w:hanging="283"/>
      <w:jc w:val="both"/>
      <w:spacing w:after="60"/>
    </w:pPr>
  </w:style>
  <w:style w:type="paragraph" w:styleId="1180">
    <w:name w:val="List 2"/>
    <w:basedOn w:val="872"/>
    <w:uiPriority w:val="99"/>
    <w:pPr>
      <w:ind w:left="566" w:hanging="283"/>
      <w:jc w:val="both"/>
      <w:spacing w:after="60"/>
    </w:pPr>
  </w:style>
  <w:style w:type="paragraph" w:styleId="1181">
    <w:name w:val="List 3"/>
    <w:basedOn w:val="872"/>
    <w:uiPriority w:val="99"/>
    <w:pPr>
      <w:ind w:left="849" w:hanging="283"/>
      <w:jc w:val="both"/>
      <w:spacing w:after="60"/>
    </w:pPr>
  </w:style>
  <w:style w:type="paragraph" w:styleId="1182">
    <w:name w:val="List 4"/>
    <w:basedOn w:val="872"/>
    <w:uiPriority w:val="99"/>
    <w:pPr>
      <w:ind w:left="1132" w:hanging="283"/>
      <w:jc w:val="both"/>
      <w:spacing w:after="60"/>
    </w:pPr>
  </w:style>
  <w:style w:type="paragraph" w:styleId="1183">
    <w:name w:val="List 5"/>
    <w:basedOn w:val="872"/>
    <w:uiPriority w:val="99"/>
    <w:pPr>
      <w:ind w:left="1415" w:hanging="283"/>
      <w:jc w:val="both"/>
      <w:spacing w:after="60"/>
    </w:pPr>
  </w:style>
  <w:style w:type="paragraph" w:styleId="1184">
    <w:name w:val="HTML Preformatted"/>
    <w:basedOn w:val="872"/>
    <w:link w:val="1185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185" w:customStyle="1">
    <w:name w:val="Стандартный HTML Знак"/>
    <w:link w:val="1184"/>
    <w:uiPriority w:val="99"/>
    <w:rPr>
      <w:rFonts w:ascii="Courier New" w:hAnsi="Courier New" w:cs="Courier New"/>
    </w:rPr>
  </w:style>
  <w:style w:type="character" w:styleId="1186">
    <w:name w:val="Strong"/>
    <w:uiPriority w:val="99"/>
    <w:qFormat/>
    <w:rPr>
      <w:b/>
      <w:bCs/>
    </w:rPr>
  </w:style>
  <w:style w:type="character" w:styleId="1187">
    <w:name w:val="HTML Cite"/>
    <w:uiPriority w:val="99"/>
    <w:rPr>
      <w:i/>
      <w:iCs/>
    </w:rPr>
  </w:style>
  <w:style w:type="paragraph" w:styleId="1188">
    <w:name w:val="Message Header"/>
    <w:basedOn w:val="872"/>
    <w:link w:val="1189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189" w:customStyle="1">
    <w:name w:val="Шапка Знак"/>
    <w:link w:val="1188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190">
    <w:name w:val="E-mail Signature"/>
    <w:basedOn w:val="872"/>
    <w:link w:val="1191"/>
    <w:uiPriority w:val="99"/>
    <w:pPr>
      <w:jc w:val="both"/>
      <w:spacing w:after="60"/>
    </w:pPr>
    <w:rPr>
      <w:lang w:val="en-US" w:eastAsia="en-US"/>
    </w:rPr>
  </w:style>
  <w:style w:type="character" w:styleId="1191" w:customStyle="1">
    <w:name w:val="Электронная подпись Знак"/>
    <w:link w:val="1190"/>
    <w:uiPriority w:val="99"/>
    <w:rPr>
      <w:sz w:val="24"/>
      <w:szCs w:val="24"/>
    </w:rPr>
  </w:style>
  <w:style w:type="paragraph" w:styleId="1192" w:customStyle="1">
    <w:name w:val="содержание2-1"/>
    <w:basedOn w:val="875"/>
    <w:next w:val="872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193" w:customStyle="1">
    <w:name w:val="Заголовок 2.1"/>
    <w:basedOn w:val="1054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194" w:customStyle="1">
    <w:name w:val="Стиль2"/>
    <w:basedOn w:val="1115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195" w:customStyle="1">
    <w:name w:val="Стиль3"/>
    <w:basedOn w:val="1134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196" w:customStyle="1">
    <w:name w:val="содержание2-11"/>
    <w:basedOn w:val="872"/>
    <w:uiPriority w:val="99"/>
    <w:pPr>
      <w:jc w:val="both"/>
      <w:spacing w:after="60"/>
    </w:pPr>
  </w:style>
  <w:style w:type="character" w:styleId="1197" w:customStyle="1">
    <w:name w:val="Знак Знак1"/>
    <w:uiPriority w:val="99"/>
    <w:rPr>
      <w:sz w:val="24"/>
      <w:szCs w:val="24"/>
      <w:lang w:val="ru-RU" w:eastAsia="ru-RU"/>
    </w:rPr>
  </w:style>
  <w:style w:type="character" w:styleId="1198" w:customStyle="1">
    <w:name w:val="Стиль3 Знак"/>
    <w:uiPriority w:val="99"/>
    <w:rPr>
      <w:sz w:val="24"/>
      <w:szCs w:val="24"/>
      <w:lang w:val="ru-RU" w:eastAsia="ru-RU"/>
    </w:rPr>
  </w:style>
  <w:style w:type="paragraph" w:styleId="1199" w:customStyle="1">
    <w:name w:val="Стиль4"/>
    <w:basedOn w:val="1055"/>
    <w:next w:val="872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200" w:customStyle="1">
    <w:name w:val="Таблица заголовок"/>
    <w:basedOn w:val="872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01" w:customStyle="1">
    <w:name w:val="текст таблицы"/>
    <w:basedOn w:val="872"/>
    <w:uiPriority w:val="99"/>
    <w:pPr>
      <w:ind w:right="-102"/>
      <w:spacing w:before="120"/>
    </w:pPr>
  </w:style>
  <w:style w:type="paragraph" w:styleId="1202" w:customStyle="1">
    <w:name w:val="Пункт Знак"/>
    <w:basedOn w:val="872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03" w:customStyle="1">
    <w:name w:val="a"/>
    <w:basedOn w:val="872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204" w:customStyle="1">
    <w:name w:val="Словарная статья"/>
    <w:basedOn w:val="872"/>
    <w:next w:val="872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205" w:customStyle="1">
    <w:name w:val="Комментарий пользователя"/>
    <w:basedOn w:val="872"/>
    <w:next w:val="872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206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207" w:customStyle="1">
    <w:name w:val="Текст выноски Знак"/>
    <w:link w:val="1079"/>
    <w:uiPriority w:val="99"/>
    <w:semiHidden/>
    <w:rPr>
      <w:rFonts w:ascii="Tahoma" w:hAnsi="Tahoma" w:cs="Tahoma"/>
      <w:sz w:val="16"/>
      <w:szCs w:val="16"/>
    </w:rPr>
  </w:style>
  <w:style w:type="character" w:styleId="1208" w:customStyle="1">
    <w:name w:val="label_body_text_1"/>
    <w:uiPriority w:val="99"/>
  </w:style>
  <w:style w:type="paragraph" w:styleId="1209" w:customStyle="1">
    <w:name w:val="Заголовок 1.Document Header1"/>
    <w:basedOn w:val="872"/>
    <w:next w:val="872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210" w:customStyle="1">
    <w:name w:val="Знак Знак11"/>
    <w:uiPriority w:val="99"/>
    <w:rPr>
      <w:sz w:val="24"/>
      <w:szCs w:val="24"/>
      <w:lang w:val="ru-RU" w:eastAsia="ru-RU"/>
    </w:rPr>
  </w:style>
  <w:style w:type="paragraph" w:styleId="1211" w:customStyle="1">
    <w:name w:val="20"/>
    <w:basedOn w:val="872"/>
    <w:uiPriority w:val="99"/>
    <w:pPr>
      <w:ind w:left="104" w:right="104"/>
      <w:spacing w:before="104" w:after="104"/>
    </w:pPr>
  </w:style>
  <w:style w:type="character" w:styleId="1212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213" w:customStyle="1">
    <w:name w:val="Схема документа Знак"/>
    <w:link w:val="1076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214" w:customStyle="1">
    <w:name w:val="Таблица шапка"/>
    <w:basedOn w:val="872"/>
    <w:pPr>
      <w:ind w:left="57" w:right="57"/>
      <w:keepNext/>
      <w:spacing w:before="40" w:after="40"/>
    </w:pPr>
    <w:rPr>
      <w:sz w:val="18"/>
      <w:szCs w:val="18"/>
    </w:rPr>
  </w:style>
  <w:style w:type="paragraph" w:styleId="1215" w:customStyle="1">
    <w:name w:val="Таблица текст"/>
    <w:basedOn w:val="872"/>
    <w:pPr>
      <w:ind w:left="57" w:right="57"/>
      <w:spacing w:before="40" w:after="40"/>
    </w:pPr>
    <w:rPr>
      <w:sz w:val="22"/>
      <w:szCs w:val="22"/>
    </w:rPr>
  </w:style>
  <w:style w:type="paragraph" w:styleId="1216" w:customStyle="1">
    <w:name w:val="пункт"/>
    <w:basedOn w:val="872"/>
    <w:uiPriority w:val="99"/>
    <w:pPr>
      <w:numPr>
        <w:ilvl w:val="2"/>
        <w:numId w:val="17"/>
      </w:numPr>
      <w:spacing w:before="60" w:after="60"/>
    </w:pPr>
  </w:style>
  <w:style w:type="character" w:styleId="1217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18">
    <w:name w:val="index 1"/>
    <w:basedOn w:val="872"/>
    <w:next w:val="872"/>
    <w:uiPriority w:val="99"/>
    <w:pPr>
      <w:ind w:left="240" w:hanging="240"/>
      <w:jc w:val="both"/>
      <w:spacing w:after="60"/>
    </w:pPr>
  </w:style>
  <w:style w:type="paragraph" w:styleId="1219" w:customStyle="1">
    <w:name w:val="Обычный1"/>
    <w:uiPriority w:val="99"/>
    <w:rPr>
      <w:sz w:val="24"/>
      <w:szCs w:val="24"/>
      <w:lang w:eastAsia="ru-RU"/>
    </w:rPr>
  </w:style>
  <w:style w:type="paragraph" w:styleId="1220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character" w:styleId="1221" w:customStyle="1">
    <w:name w:val="Текст концевой сноски Знак"/>
    <w:basedOn w:val="1056"/>
    <w:link w:val="1040"/>
    <w:uiPriority w:val="99"/>
  </w:style>
  <w:style w:type="paragraph" w:styleId="1222" w:customStyle="1">
    <w:name w:val="Основной текст с отступом11"/>
    <w:basedOn w:val="872"/>
    <w:uiPriority w:val="99"/>
    <w:pPr>
      <w:ind w:firstLine="851"/>
      <w:jc w:val="both"/>
      <w:spacing w:before="60"/>
    </w:pPr>
  </w:style>
  <w:style w:type="character" w:styleId="1223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224">
    <w:name w:val="Placeholder Text"/>
    <w:uiPriority w:val="99"/>
    <w:semiHidden/>
    <w:rPr>
      <w:color w:val="808080"/>
    </w:rPr>
  </w:style>
  <w:style w:type="character" w:styleId="1225" w:customStyle="1">
    <w:name w:val="f"/>
  </w:style>
  <w:style w:type="character" w:styleId="1226" w:customStyle="1">
    <w:name w:val="r"/>
  </w:style>
  <w:style w:type="paragraph" w:styleId="1227">
    <w:name w:val="Body Text 2"/>
    <w:basedOn w:val="872"/>
    <w:link w:val="1228"/>
    <w:pPr>
      <w:jc w:val="both"/>
      <w:spacing w:after="120" w:line="480" w:lineRule="auto"/>
    </w:pPr>
    <w:rPr>
      <w:lang w:val="en-US" w:eastAsia="en-US"/>
    </w:rPr>
  </w:style>
  <w:style w:type="character" w:styleId="1228" w:customStyle="1">
    <w:name w:val="Основной текст 2 Знак"/>
    <w:link w:val="1227"/>
    <w:rPr>
      <w:sz w:val="24"/>
      <w:szCs w:val="24"/>
    </w:rPr>
  </w:style>
  <w:style w:type="paragraph" w:styleId="1229" w:customStyle="1">
    <w:name w:val="Iniiaiie oaeno"/>
    <w:basedOn w:val="872"/>
    <w:uiPriority w:val="99"/>
    <w:pPr>
      <w:jc w:val="center"/>
    </w:pPr>
    <w:rPr>
      <w:rFonts w:ascii="Arial" w:hAnsi="Arial" w:cs="Arial"/>
    </w:rPr>
  </w:style>
  <w:style w:type="paragraph" w:styleId="1230" w:customStyle="1">
    <w:name w:val="Абзац списка1"/>
    <w:basedOn w:val="872"/>
    <w:pPr>
      <w:contextualSpacing/>
      <w:ind w:left="720"/>
    </w:pPr>
    <w:rPr>
      <w:rFonts w:ascii="Cambria" w:hAnsi="Cambria" w:eastAsia="MS Mincho"/>
    </w:rPr>
  </w:style>
  <w:style w:type="paragraph" w:styleId="1231" w:customStyle="1">
    <w:name w:val="Таблицы (моноширинный)"/>
    <w:basedOn w:val="872"/>
    <w:next w:val="872"/>
    <w:uiPriority w:val="99"/>
    <w:rPr>
      <w:rFonts w:ascii="Courier New" w:hAnsi="Courier New" w:eastAsia="Calibri" w:cs="Courier New"/>
      <w:lang w:eastAsia="en-US"/>
    </w:rPr>
  </w:style>
  <w:style w:type="character" w:styleId="1232" w:customStyle="1">
    <w:name w:val="Пункт Знак1"/>
    <w:link w:val="1058"/>
    <w:rPr>
      <w:sz w:val="28"/>
      <w:lang w:val="en-US" w:eastAsia="en-US"/>
    </w:rPr>
  </w:style>
  <w:style w:type="paragraph" w:styleId="1233" w:customStyle="1">
    <w:name w:val="Пункт-3"/>
    <w:basedOn w:val="872"/>
    <w:link w:val="1234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234" w:customStyle="1">
    <w:name w:val="Пункт-3 Знак"/>
    <w:link w:val="1233"/>
    <w:rPr>
      <w:sz w:val="28"/>
    </w:rPr>
  </w:style>
  <w:style w:type="character" w:styleId="1235" w:customStyle="1">
    <w:name w:val="Основной текст (3)_"/>
    <w:link w:val="1236"/>
    <w:rPr>
      <w:b/>
      <w:bCs/>
      <w:shd w:val="clear" w:color="auto" w:fill="ffffff"/>
    </w:rPr>
  </w:style>
  <w:style w:type="paragraph" w:styleId="1236" w:customStyle="1">
    <w:name w:val="Основной текст (3)"/>
    <w:basedOn w:val="872"/>
    <w:link w:val="1235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237" w:customStyle="1">
    <w:name w:val="Пункт-4"/>
    <w:basedOn w:val="872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238" w:customStyle="1">
    <w:name w:val="комментарий"/>
    <w:uiPriority w:val="99"/>
    <w:rPr>
      <w:i/>
      <w:u w:val="none"/>
      <w:shd w:val="clear" w:color="auto" w:fill="ffff99"/>
    </w:rPr>
  </w:style>
  <w:style w:type="paragraph" w:styleId="1239">
    <w:name w:val="Revision"/>
    <w:hidden/>
    <w:uiPriority w:val="99"/>
    <w:semiHidden/>
    <w:rPr>
      <w:sz w:val="24"/>
      <w:szCs w:val="24"/>
      <w:lang w:eastAsia="ru-RU"/>
    </w:rPr>
  </w:style>
  <w:style w:type="paragraph" w:styleId="1240" w:customStyle="1">
    <w:name w:val="Ариал"/>
    <w:basedOn w:val="872"/>
    <w:link w:val="1241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241" w:customStyle="1">
    <w:name w:val="Ариал Знак1"/>
    <w:link w:val="1240"/>
    <w:rPr>
      <w:rFonts w:ascii="Arial" w:hAnsi="Arial"/>
      <w:sz w:val="24"/>
      <w:lang w:val="en-US" w:eastAsia="en-US"/>
    </w:rPr>
  </w:style>
  <w:style w:type="paragraph" w:styleId="1242" w:customStyle="1">
    <w:name w:val="Цитата1"/>
    <w:basedOn w:val="872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43" w:customStyle="1">
    <w:name w:val="Times 12"/>
    <w:basedOn w:val="872"/>
    <w:pPr>
      <w:ind w:firstLine="567"/>
      <w:jc w:val="both"/>
    </w:pPr>
    <w:rPr>
      <w:bCs/>
      <w:szCs w:val="22"/>
    </w:rPr>
  </w:style>
  <w:style w:type="paragraph" w:styleId="1244" w:customStyle="1">
    <w:name w:val="МРСК_нумерованный_список"/>
    <w:basedOn w:val="1069"/>
    <w:qFormat/>
    <w:pPr>
      <w:numPr>
        <w:ilvl w:val="0"/>
        <w:numId w:val="18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245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246" w:customStyle="1">
    <w:name w:val="Пункт б/н"/>
    <w:basedOn w:val="872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247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  <w:lang w:eastAsia="ru-RU"/>
    </w:rPr>
  </w:style>
  <w:style w:type="character" w:styleId="1248" w:customStyle="1">
    <w:name w:val="Нет"/>
  </w:style>
  <w:style w:type="character" w:styleId="1249" w:customStyle="1">
    <w:name w:val="Hyperlink.0"/>
    <w:basedOn w:val="1248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rmsp.nalog.ru/" TargetMode="External"/><Relationship Id="rId15" Type="http://schemas.openxmlformats.org/officeDocument/2006/relationships/hyperlink" Target="https://npd.nalog.ru/check-status/" TargetMode="External"/><Relationship Id="rId16" Type="http://schemas.openxmlformats.org/officeDocument/2006/relationships/hyperlink" Target="http://www.zakupki.gov.ru" TargetMode="External"/><Relationship Id="rId17" Type="http://schemas.openxmlformats.org/officeDocument/2006/relationships/hyperlink" Target="http://www.cbr.ru/credit/" TargetMode="External"/><Relationship Id="rId18" Type="http://schemas.openxmlformats.org/officeDocument/2006/relationships/hyperlink" Target="https://www.mrsk-sib.ru/index.php?option=com_content&amp;view=category&amp;layout=blog&amp;id=2863&amp;Itemid=4101&amp;lang=ru4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5</cp:revision>
  <dcterms:created xsi:type="dcterms:W3CDTF">2025-12-05T07:56:00Z</dcterms:created>
  <dcterms:modified xsi:type="dcterms:W3CDTF">2025-12-06T07:44:02Z</dcterms:modified>
  <cp:version>1048576</cp:version>
</cp:coreProperties>
</file>